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jc w:val="center"/>
      </w:pPr>
      <w:r>
        <w:rPr>
          <w:rFonts w:ascii="Times New Roman" w:cs="Times New Roman" w:eastAsia="DejaVu Sans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BTS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MUC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2013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(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LV2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)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FFFFFF" w:val="clear"/>
        <w:tabs>
          <w:tab w:leader="none" w:pos="0" w:val="left"/>
          <w:tab w:leader="none" w:pos="708" w:val="left"/>
          <w:tab w:leader="none" w:pos="1860" w:val="left"/>
        </w:tabs>
        <w:spacing w:after="150" w:before="0" w:line="570" w:lineRule="atLeast"/>
        <w:jc w:val="center"/>
        <w:textAlignment w:val="baseline"/>
      </w:pPr>
      <w:r>
        <w:rPr>
          <w:rFonts w:ascii="Times New Roman" w:cs="Arial" w:eastAsia="Times New Roman" w:hAnsi="Times New Roman"/>
          <w:b/>
          <w:bCs/>
          <w:color w:val="000000"/>
          <w:sz w:val="28"/>
          <w:szCs w:val="28"/>
          <w:lang w:eastAsia="fr-FR" w:val="es-ES"/>
        </w:rPr>
        <w:t>Uno de cada 10 españoles no se va de viaje porque no puede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FFFFFF" w:val="clear"/>
        <w:tabs>
          <w:tab w:leader="none" w:pos="708" w:val="left"/>
          <w:tab w:leader="none" w:pos="1985" w:val="left"/>
        </w:tabs>
        <w:spacing w:after="100" w:before="100" w:line="570" w:lineRule="atLeast"/>
        <w:jc w:val="right"/>
        <w:textAlignment w:val="baseline"/>
      </w:pPr>
      <w:r>
        <w:rPr>
          <w:rStyle w:val="style26"/>
          <w:rFonts w:ascii="Times New Roman" w:cs="Times New Roman" w:eastAsia="DejaVu Sans" w:hAnsi="Times New Roman"/>
          <w:b/>
          <w:bCs/>
          <w:i/>
          <w:iCs/>
          <w:color w:val="000000"/>
          <w:sz w:val="24"/>
          <w:szCs w:val="24"/>
          <w:lang w:bidi="fr-FR" w:eastAsia="fr-FR" w:val="es-ES"/>
        </w:rPr>
        <w:t>Texto</w:t>
      </w:r>
      <w:r>
        <w:rPr>
          <w:rStyle w:val="style26"/>
          <w:rFonts w:ascii="Times New Roman" w:cs="Times New Roman" w:eastAsia="Times New Roman" w:hAnsi="Times New Roman"/>
          <w:b/>
          <w:bCs/>
          <w:color w:val="000000"/>
          <w:sz w:val="24"/>
          <w:szCs w:val="24"/>
          <w:lang w:bidi="fr-FR" w:eastAsia="fr-FR" w:val="es-ES"/>
        </w:rPr>
        <w:t xml:space="preserve"> n°17</w:t>
      </w:r>
    </w:p>
    <w:p>
      <w:pPr>
        <w:pStyle w:val="style0"/>
        <w:shd w:fill="FFFFFF" w:val="clear"/>
        <w:spacing w:after="150" w:before="0" w:line="570" w:lineRule="atLeast"/>
        <w:jc w:val="both"/>
        <w:textAlignment w:val="baseline"/>
      </w:pPr>
      <w:r>
        <w:rPr>
          <w:rFonts w:ascii="Times New Roman" w:cs="Arial" w:eastAsia="Times New Roman" w:hAnsi="Times New Roman"/>
          <w:b/>
          <w:bCs/>
          <w:color w:val="464545"/>
          <w:sz w:val="24"/>
          <w:szCs w:val="24"/>
          <w:lang w:eastAsia="fr-FR" w:val="es-ES"/>
        </w:rPr>
        <w:t>Cinco Días, 04/03/2013</w:t>
      </w:r>
    </w:p>
    <w:p>
      <w:pPr>
        <w:pStyle w:val="style0"/>
        <w:shd w:fill="FFFFFF" w:val="clear"/>
        <w:tabs>
          <w:tab w:leader="none" w:pos="708" w:val="left"/>
          <w:tab w:leader="none" w:pos="3945" w:val="left"/>
        </w:tabs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Los efectos de la crisis económica en España no sólo se reflejan en el alto número de parados o los recortes de </w:t>
      </w:r>
      <w:r>
        <w:rPr>
          <w:rFonts w:ascii="Times New Roman" w:cs="Times New Roman" w:eastAsia="Times New Roman" w:hAnsi="Times New Roman"/>
          <w:b/>
          <w:bCs/>
          <w:color w:val="464545"/>
          <w:sz w:val="24"/>
          <w:szCs w:val="24"/>
          <w:lang w:eastAsia="fr-FR" w:val="es-ES"/>
        </w:rPr>
        <w:t>presupuesto,</w:t>
      </w: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 también afectan a los proyectos personales simples como salir de vacaciones. Los datos de una encuesta en la que participaron 2.000 españoles revelan que un 10% no se ha ido de vacaciones en los últimos tres años por problemas financieros personales.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Los datos de la encuesta de la Organización de Consumidores y Usuarios (OCU) los confirman las cifras publicadas por el Instituto Nacional de Estadística (INE). En el primer mes del año, los viajes y </w:t>
      </w:r>
      <w:r>
        <w:rPr>
          <w:rFonts w:ascii="Times New Roman" w:cs="Times New Roman" w:eastAsia="Times New Roman" w:hAnsi="Times New Roman"/>
          <w:b/>
          <w:bCs/>
          <w:color w:val="464545"/>
          <w:sz w:val="24"/>
          <w:szCs w:val="24"/>
          <w:lang w:eastAsia="fr-FR" w:val="es-ES"/>
        </w:rPr>
        <w:t>las pernoctaciones</w:t>
      </w: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 de viajeros nacionales registradas son las peores desde 2004. En enero, los españoles realizaron 2,1 millones de desplazamientos (280.000 menos que en 2012) y contabilizaron 4,4 millones de </w:t>
      </w:r>
      <w:r>
        <w:rPr>
          <w:rFonts w:ascii="Times New Roman" w:cs="Times New Roman" w:eastAsia="Times New Roman" w:hAnsi="Times New Roman"/>
          <w:b/>
          <w:bCs/>
          <w:color w:val="464545"/>
          <w:sz w:val="24"/>
          <w:szCs w:val="24"/>
          <w:lang w:eastAsia="fr-FR" w:val="es-ES"/>
        </w:rPr>
        <w:t>pernoctaciones</w:t>
      </w: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 (630.000 menos).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En lo que se refiere a la satisfacción de los viajeros, las agencias de viajes recibieron una puntuación alta. El 70% de los encuestados se mostró satisfecho con los servicios de las agencias, físicas o virtuales, por tener procesos de reserva sencillos, condiciones transparentes y una tasa fija por reserva. Sólo uno de cada veinte encuestados declaró estar insatisfecho de su agencia. Los problemas que más se repiten son </w:t>
      </w:r>
      <w:r>
        <w:rPr>
          <w:rFonts w:ascii="Times New Roman" w:cs="Times New Roman" w:eastAsia="Times New Roman" w:hAnsi="Times New Roman"/>
          <w:b w:val="false"/>
          <w:bCs w:val="false"/>
          <w:color w:val="464545"/>
          <w:sz w:val="24"/>
          <w:szCs w:val="24"/>
          <w:lang w:eastAsia="fr-FR" w:val="es-ES"/>
        </w:rPr>
        <w:t xml:space="preserve">los </w:t>
      </w: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>retrasos, cargos extras y hoteles de menor categoría que la prometida.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>Según el estudio, las agencias de viaje favoritas son Eroski Viajes, Booking.com y Viajes El Corte Inglés. Al contrario, Rumbo no obtiene una buena calificación, principalmente por no comunicar el precio total hasta el final del proceso de reserva.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A partir de las respuestas, la OCU ha elaborado </w:t>
      </w:r>
      <w:r>
        <w:rPr>
          <w:rFonts w:ascii="Times New Roman" w:cs="Times New Roman" w:eastAsia="Times New Roman" w:hAnsi="Times New Roman"/>
          <w:b/>
          <w:bCs/>
          <w:color w:val="464545"/>
          <w:sz w:val="24"/>
          <w:szCs w:val="24"/>
          <w:lang w:eastAsia="fr-FR" w:val="es-ES"/>
        </w:rPr>
        <w:t>un ranking</w:t>
      </w:r>
      <w:r>
        <w:rPr>
          <w:rFonts w:ascii="Times New Roman" w:cs="Times New Roman" w:eastAsia="Times New Roman" w:hAnsi="Times New Roman"/>
          <w:color w:val="464545"/>
          <w:sz w:val="24"/>
          <w:szCs w:val="24"/>
          <w:lang w:eastAsia="fr-FR" w:val="es-ES"/>
        </w:rPr>
        <w:t xml:space="preserve"> de cadenas hoteleras. Las más frecuentadas por los españoles son NH, Barceló y Meliá. Sin embargo, la española Iberostar (del grupo Orizonia, que atraviesa actualmente grandes dificultades económicas) sólo aparece en el puesto número once.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b/>
          <w:bCs/>
          <w:color w:val="464545"/>
          <w:sz w:val="24"/>
          <w:szCs w:val="24"/>
          <w:lang w:eastAsia="fr-FR" w:val="es-ES"/>
        </w:rPr>
        <w:t>El presupuesto:</w:t>
      </w:r>
      <w:r>
        <w:rPr>
          <w:rFonts w:ascii="Times New Roman" w:cs="Times New Roman" w:eastAsia="Times New Roman" w:hAnsi="Times New Roman"/>
          <w:i/>
          <w:iCs/>
          <w:color w:val="464545"/>
          <w:sz w:val="24"/>
          <w:szCs w:val="24"/>
          <w:lang w:eastAsia="fr-FR" w:val="es-ES"/>
        </w:rPr>
        <w:t xml:space="preserve"> le budget.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b/>
          <w:bCs/>
          <w:color w:val="464545"/>
          <w:sz w:val="24"/>
          <w:szCs w:val="24"/>
          <w:lang w:eastAsia="fr-FR" w:val="es-ES"/>
        </w:rPr>
        <w:t>Una pernoctación:</w:t>
      </w:r>
      <w:r>
        <w:rPr>
          <w:rFonts w:ascii="Times New Roman" w:cs="Times New Roman" w:eastAsia="Times New Roman" w:hAnsi="Times New Roman"/>
          <w:i/>
          <w:iCs/>
          <w:color w:val="464545"/>
          <w:sz w:val="24"/>
          <w:szCs w:val="24"/>
          <w:lang w:eastAsia="fr-FR" w:val="es-ES"/>
        </w:rPr>
        <w:t xml:space="preserve"> une nuitée.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464545"/>
          <w:sz w:val="24"/>
          <w:szCs w:val="24"/>
          <w:lang w:eastAsia="fr-FR" w:val="es-ES"/>
        </w:rPr>
        <w:t>Un ranking:</w:t>
      </w:r>
      <w:r>
        <w:rPr>
          <w:rFonts w:ascii="Times New Roman" w:cs="Times New Roman" w:eastAsia="Times New Roman" w:hAnsi="Times New Roman"/>
          <w:i/>
          <w:iCs/>
          <w:color w:val="464545"/>
          <w:sz w:val="24"/>
          <w:szCs w:val="24"/>
          <w:lang w:eastAsia="fr-FR" w:val="es-ES"/>
        </w:rPr>
        <w:t xml:space="preserve"> un classement.</w:t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  <w:shd w:fill="FFFFFF" w:val="clear"/>
        <w:spacing w:after="0" w:before="0" w:line="285" w:lineRule="atLeast"/>
        <w:jc w:val="both"/>
        <w:textAlignment w:val="baseline"/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2048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fr-FR"/>
    </w:rPr>
  </w:style>
  <w:style w:styleId="style1" w:type="paragraph">
    <w:name w:val="Titre 1"/>
    <w:basedOn w:val="style0"/>
    <w:next w:val="style28"/>
    <w:pPr>
      <w:spacing w:after="28" w:before="28" w:line="100" w:lineRule="atLeast"/>
    </w:pPr>
    <w:rPr>
      <w:rFonts w:ascii="Times New Roman" w:cs="Times New Roman" w:eastAsia="Times New Roman" w:hAnsi="Times New Roman"/>
      <w:b/>
      <w:bCs/>
      <w:sz w:val="48"/>
      <w:szCs w:val="48"/>
      <w:lang w:eastAsia="fr-FR"/>
    </w:rPr>
  </w:style>
  <w:style w:styleId="style15" w:type="character">
    <w:name w:val="Default Paragraph Font"/>
    <w:next w:val="style15"/>
    <w:rPr/>
  </w:style>
  <w:style w:styleId="style16" w:type="character">
    <w:name w:val="Titre 1 Car"/>
    <w:basedOn w:val="style15"/>
    <w:next w:val="style16"/>
    <w:rPr>
      <w:rFonts w:ascii="Times New Roman" w:cs="Times New Roman" w:eastAsia="Times New Roman" w:hAnsi="Times New Roman"/>
      <w:b/>
      <w:bCs/>
      <w:sz w:val="48"/>
      <w:szCs w:val="48"/>
      <w:lang w:eastAsia="fr-FR"/>
    </w:rPr>
  </w:style>
  <w:style w:styleId="style17" w:type="character">
    <w:name w:val="Lien Internet"/>
    <w:basedOn w:val="style15"/>
    <w:next w:val="style17"/>
    <w:rPr>
      <w:color w:val="0000FF"/>
      <w:u w:val="single"/>
      <w:lang w:bidi="fr-FR" w:eastAsia="fr-FR" w:val="fr-FR"/>
    </w:rPr>
  </w:style>
  <w:style w:styleId="style18" w:type="character">
    <w:name w:val="apple-converted-space"/>
    <w:basedOn w:val="style15"/>
    <w:next w:val="style18"/>
    <w:rPr/>
  </w:style>
  <w:style w:styleId="style19" w:type="character">
    <w:name w:val="contador"/>
    <w:basedOn w:val="style15"/>
    <w:next w:val="style19"/>
    <w:rPr/>
  </w:style>
  <w:style w:styleId="style20" w:type="character">
    <w:name w:val="firma"/>
    <w:basedOn w:val="style15"/>
    <w:next w:val="style20"/>
    <w:rPr/>
  </w:style>
  <w:style w:styleId="style21" w:type="character">
    <w:name w:val="Texte de bulles Car"/>
    <w:basedOn w:val="style15"/>
    <w:next w:val="style21"/>
    <w:rPr>
      <w:rFonts w:ascii="Tahoma" w:cs="Tahoma" w:hAnsi="Tahoma"/>
      <w:sz w:val="16"/>
      <w:szCs w:val="16"/>
    </w:rPr>
  </w:style>
  <w:style w:styleId="style22" w:type="character">
    <w:name w:val="ListLabel 1"/>
    <w:next w:val="style22"/>
    <w:rPr>
      <w:sz w:val="20"/>
    </w:rPr>
  </w:style>
  <w:style w:styleId="style23" w:type="character">
    <w:name w:val="ListLabel 2"/>
    <w:next w:val="style23"/>
    <w:rPr>
      <w:rFonts w:cs="Symbol"/>
      <w:sz w:val="20"/>
    </w:rPr>
  </w:style>
  <w:style w:styleId="style24" w:type="character">
    <w:name w:val="ListLabel 3"/>
    <w:next w:val="style24"/>
    <w:rPr>
      <w:rFonts w:cs="Courier New"/>
      <w:sz w:val="20"/>
    </w:rPr>
  </w:style>
  <w:style w:styleId="style25" w:type="character">
    <w:name w:val="ListLabel 4"/>
    <w:next w:val="style25"/>
    <w:rPr>
      <w:rFonts w:cs="Wingdings"/>
      <w:sz w:val="20"/>
    </w:rPr>
  </w:style>
  <w:style w:styleId="style26" w:type="character">
    <w:name w:val="Accentuation"/>
    <w:next w:val="style26"/>
    <w:rPr>
      <w:i/>
      <w:iCs/>
    </w:rPr>
  </w:style>
  <w:style w:styleId="style27" w:type="paragraph">
    <w:name w:val="Titre"/>
    <w:basedOn w:val="style0"/>
    <w:next w:val="style2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8" w:type="paragraph">
    <w:name w:val="Corps de texte"/>
    <w:basedOn w:val="style0"/>
    <w:next w:val="style28"/>
    <w:pPr>
      <w:spacing w:after="120" w:before="0"/>
    </w:pPr>
    <w:rPr/>
  </w:style>
  <w:style w:styleId="style29" w:type="paragraph">
    <w:name w:val="Liste"/>
    <w:basedOn w:val="style28"/>
    <w:next w:val="style29"/>
    <w:pPr/>
    <w:rPr>
      <w:rFonts w:cs="Lohit Hindi"/>
    </w:rPr>
  </w:style>
  <w:style w:styleId="style30" w:type="paragraph">
    <w:name w:val="Légende"/>
    <w:basedOn w:val="style0"/>
    <w:next w:val="style3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cs="Lohit Hindi"/>
    </w:rPr>
  </w:style>
  <w:style w:styleId="style32" w:type="paragraph">
    <w:name w:val="autor"/>
    <w:basedOn w:val="style0"/>
    <w:next w:val="style32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3" w:type="paragraph">
    <w:name w:val="lugar"/>
    <w:basedOn w:val="style0"/>
    <w:next w:val="style3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4" w:type="paragraph">
    <w:name w:val="fecha"/>
    <w:basedOn w:val="style0"/>
    <w:next w:val="style3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5" w:type="paragraph">
    <w:name w:val="pie-foto"/>
    <w:basedOn w:val="style0"/>
    <w:next w:val="style35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6" w:type="paragraph">
    <w:name w:val="Normal (Web)"/>
    <w:basedOn w:val="style0"/>
    <w:next w:val="style36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fr-FR"/>
    </w:rPr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2013-03-18T11:43:00.00Z</dcterms:created>
  <dc:creator>renaud</dc:creator>
  <cp:lastModifiedBy>renaud</cp:lastModifiedBy>
  <dcterms:modified xsi:type="dcterms:W3CDTF">2013-03-21T13:47:00.00Z</dcterms:modified>
  <cp:revision>5</cp:revision>
</cp:coreProperties>
</file>