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A64138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A64138" w:rsidRPr="00A64138">
        <w:rPr>
          <w:rFonts w:cs="Calibri"/>
          <w:b/>
          <w:color w:val="000000"/>
          <w:sz w:val="30"/>
          <w:szCs w:val="30"/>
          <w:lang w:eastAsia="fr-FR"/>
        </w:rPr>
        <w:t>19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AE7621" w:rsidRDefault="00AE7621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asciiTheme="minorHAnsi" w:hAnsiTheme="minorHAnsi" w:cs="Segoe UI"/>
          <w:b/>
          <w:color w:val="000000"/>
          <w:sz w:val="30"/>
          <w:szCs w:val="30"/>
          <w:lang w:val="es-ES_tradnl" w:eastAsia="fr-FR"/>
        </w:rPr>
      </w:pPr>
      <w:r w:rsidRPr="00AE7621">
        <w:rPr>
          <w:rFonts w:asciiTheme="minorHAnsi" w:hAnsiTheme="minorHAnsi" w:cs="Times"/>
          <w:b/>
          <w:bCs/>
          <w:sz w:val="30"/>
          <w:szCs w:val="30"/>
        </w:rPr>
        <w:t xml:space="preserve">El </w:t>
      </w:r>
      <w:proofErr w:type="spellStart"/>
      <w:r w:rsidRPr="00AE7621">
        <w:rPr>
          <w:rFonts w:asciiTheme="minorHAnsi" w:hAnsiTheme="minorHAnsi" w:cs="Times"/>
          <w:b/>
          <w:bCs/>
          <w:sz w:val="30"/>
          <w:szCs w:val="30"/>
        </w:rPr>
        <w:t>alquiler</w:t>
      </w:r>
      <w:proofErr w:type="spellEnd"/>
      <w:r w:rsidRPr="00AE7621">
        <w:rPr>
          <w:rFonts w:asciiTheme="minorHAnsi" w:hAnsiTheme="minorHAnsi" w:cs="Times"/>
          <w:b/>
          <w:bCs/>
          <w:sz w:val="30"/>
          <w:szCs w:val="30"/>
        </w:rPr>
        <w:t xml:space="preserve"> </w:t>
      </w:r>
      <w:proofErr w:type="spellStart"/>
      <w:r w:rsidRPr="00AE7621">
        <w:rPr>
          <w:rFonts w:asciiTheme="minorHAnsi" w:hAnsiTheme="minorHAnsi" w:cs="Times"/>
          <w:b/>
          <w:bCs/>
          <w:sz w:val="30"/>
          <w:szCs w:val="30"/>
        </w:rPr>
        <w:t>busca</w:t>
      </w:r>
      <w:proofErr w:type="spellEnd"/>
      <w:r w:rsidRPr="00AE7621">
        <w:rPr>
          <w:rFonts w:asciiTheme="minorHAnsi" w:hAnsiTheme="minorHAnsi" w:cs="Times"/>
          <w:b/>
          <w:bCs/>
          <w:sz w:val="30"/>
          <w:szCs w:val="30"/>
        </w:rPr>
        <w:t xml:space="preserve"> </w:t>
      </w:r>
      <w:proofErr w:type="spellStart"/>
      <w:r w:rsidRPr="00AE7621">
        <w:rPr>
          <w:rFonts w:asciiTheme="minorHAnsi" w:hAnsiTheme="minorHAnsi" w:cs="Times"/>
          <w:b/>
          <w:bCs/>
          <w:sz w:val="30"/>
          <w:szCs w:val="30"/>
        </w:rPr>
        <w:t>consolidarse</w:t>
      </w:r>
      <w:proofErr w:type="spellEnd"/>
      <w:r w:rsidRPr="00AE7621">
        <w:rPr>
          <w:rFonts w:asciiTheme="minorHAnsi" w:hAnsiTheme="minorHAnsi" w:cs="Times"/>
          <w:b/>
          <w:bCs/>
          <w:sz w:val="30"/>
          <w:szCs w:val="30"/>
        </w:rPr>
        <w:t xml:space="preserve"> </w:t>
      </w:r>
      <w:proofErr w:type="spellStart"/>
      <w:r w:rsidRPr="00AE7621">
        <w:rPr>
          <w:rFonts w:asciiTheme="minorHAnsi" w:hAnsiTheme="minorHAnsi" w:cs="Times"/>
          <w:b/>
          <w:bCs/>
          <w:sz w:val="30"/>
          <w:szCs w:val="30"/>
        </w:rPr>
        <w:t>como</w:t>
      </w:r>
      <w:proofErr w:type="spellEnd"/>
      <w:r w:rsidRPr="00AE7621">
        <w:rPr>
          <w:rFonts w:asciiTheme="minorHAnsi" w:hAnsiTheme="minorHAnsi" w:cs="Times"/>
          <w:b/>
          <w:bCs/>
          <w:sz w:val="30"/>
          <w:szCs w:val="30"/>
        </w:rPr>
        <w:t xml:space="preserve"> </w:t>
      </w:r>
      <w:proofErr w:type="spellStart"/>
      <w:r w:rsidRPr="00AE7621">
        <w:rPr>
          <w:rFonts w:asciiTheme="minorHAnsi" w:hAnsiTheme="minorHAnsi" w:cs="Times"/>
          <w:b/>
          <w:bCs/>
          <w:sz w:val="30"/>
          <w:szCs w:val="30"/>
        </w:rPr>
        <w:t>alternativa</w:t>
      </w:r>
      <w:proofErr w:type="spellEnd"/>
      <w:r w:rsidRPr="00AE7621">
        <w:rPr>
          <w:rFonts w:asciiTheme="minorHAnsi" w:hAnsiTheme="minorHAnsi" w:cs="Times"/>
          <w:b/>
          <w:bCs/>
          <w:sz w:val="30"/>
          <w:szCs w:val="30"/>
        </w:rPr>
        <w:t xml:space="preserve"> a la </w:t>
      </w:r>
      <w:proofErr w:type="spellStart"/>
      <w:r w:rsidRPr="00AE7621">
        <w:rPr>
          <w:rFonts w:asciiTheme="minorHAnsi" w:hAnsiTheme="minorHAnsi" w:cs="Times"/>
          <w:b/>
          <w:bCs/>
          <w:sz w:val="30"/>
          <w:szCs w:val="30"/>
        </w:rPr>
        <w:t>compra</w:t>
      </w:r>
      <w:proofErr w:type="spellEnd"/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AE7621" w:rsidRPr="00AE7621" w:rsidRDefault="00AE7621" w:rsidP="00AE7621">
      <w:pPr>
        <w:jc w:val="both"/>
      </w:pPr>
      <w:r w:rsidRPr="00AE7621">
        <w:lastRenderedPageBreak/>
        <w:t xml:space="preserve">El </w:t>
      </w:r>
      <w:proofErr w:type="spellStart"/>
      <w:r w:rsidRPr="00AE7621">
        <w:t>alquiler</w:t>
      </w:r>
      <w:proofErr w:type="spellEnd"/>
      <w:r w:rsidRPr="00AE7621">
        <w:t xml:space="preserve"> se ha </w:t>
      </w:r>
      <w:proofErr w:type="spellStart"/>
      <w:r w:rsidRPr="00AE7621">
        <w:t>convertido</w:t>
      </w:r>
      <w:proofErr w:type="spellEnd"/>
      <w:r w:rsidRPr="00AE7621">
        <w:t xml:space="preserve"> en la </w:t>
      </w:r>
      <w:proofErr w:type="spellStart"/>
      <w:r w:rsidRPr="00AE7621">
        <w:t>alternativa</w:t>
      </w:r>
      <w:proofErr w:type="spellEnd"/>
      <w:r w:rsidRPr="00AE7621">
        <w:t xml:space="preserve"> para </w:t>
      </w:r>
      <w:proofErr w:type="spellStart"/>
      <w:r w:rsidRPr="00AE7621">
        <w:t>muchos</w:t>
      </w:r>
      <w:proofErr w:type="spellEnd"/>
      <w:r w:rsidRPr="00AE7621">
        <w:t xml:space="preserve"> </w:t>
      </w:r>
      <w:proofErr w:type="spellStart"/>
      <w:r w:rsidRPr="00AE7621">
        <w:t>ciudadanos</w:t>
      </w:r>
      <w:proofErr w:type="spellEnd"/>
      <w:r w:rsidRPr="00AE7621">
        <w:t xml:space="preserve"> para </w:t>
      </w:r>
      <w:proofErr w:type="spellStart"/>
      <w:r w:rsidRPr="00AE7621">
        <w:t>vivir</w:t>
      </w:r>
      <w:proofErr w:type="spellEnd"/>
      <w:r w:rsidRPr="00AE7621">
        <w:t xml:space="preserve"> en </w:t>
      </w:r>
      <w:proofErr w:type="spellStart"/>
      <w:r w:rsidRPr="00AE7621">
        <w:t>estos</w:t>
      </w:r>
      <w:proofErr w:type="spellEnd"/>
      <w:r w:rsidRPr="00AE7621">
        <w:t xml:space="preserve"> </w:t>
      </w:r>
      <w:proofErr w:type="spellStart"/>
      <w:r w:rsidRPr="00AE7621">
        <w:t>años</w:t>
      </w:r>
      <w:proofErr w:type="spellEnd"/>
      <w:r w:rsidRPr="00AE7621">
        <w:t xml:space="preserve"> de </w:t>
      </w:r>
      <w:proofErr w:type="spellStart"/>
      <w:r w:rsidRPr="00AE7621">
        <w:t>crisis</w:t>
      </w:r>
      <w:proofErr w:type="spellEnd"/>
      <w:r w:rsidRPr="00AE7621">
        <w:t xml:space="preserve"> </w:t>
      </w:r>
      <w:proofErr w:type="spellStart"/>
      <w:r w:rsidRPr="00AE7621">
        <w:t>económica</w:t>
      </w:r>
      <w:proofErr w:type="spellEnd"/>
      <w:r w:rsidRPr="00AE7621">
        <w:t xml:space="preserve">. </w:t>
      </w:r>
      <w:proofErr w:type="spellStart"/>
      <w:r w:rsidRPr="00AE7621">
        <w:t>Ahora</w:t>
      </w:r>
      <w:proofErr w:type="spellEnd"/>
      <w:r w:rsidRPr="00AE7621">
        <w:t xml:space="preserve"> que </w:t>
      </w:r>
      <w:proofErr w:type="spellStart"/>
      <w:r w:rsidRPr="00AE7621">
        <w:t>comienza</w:t>
      </w:r>
      <w:proofErr w:type="spellEnd"/>
      <w:r w:rsidRPr="00AE7621">
        <w:t xml:space="preserve"> a verse la </w:t>
      </w:r>
      <w:proofErr w:type="spellStart"/>
      <w:r w:rsidRPr="00AE7621">
        <w:t>salida</w:t>
      </w:r>
      <w:proofErr w:type="spellEnd"/>
      <w:r w:rsidRPr="00AE7621">
        <w:t xml:space="preserve"> </w:t>
      </w:r>
      <w:proofErr w:type="spellStart"/>
      <w:r w:rsidRPr="00AE7621">
        <w:t>del</w:t>
      </w:r>
      <w:proofErr w:type="spellEnd"/>
      <w:r w:rsidRPr="00AE7621">
        <w:t xml:space="preserve"> </w:t>
      </w:r>
      <w:proofErr w:type="spellStart"/>
      <w:r w:rsidRPr="00AE7621">
        <w:t>túnel</w:t>
      </w:r>
      <w:proofErr w:type="spellEnd"/>
      <w:r w:rsidRPr="00AE7621">
        <w:t xml:space="preserve">, el </w:t>
      </w:r>
      <w:proofErr w:type="spellStart"/>
      <w:r w:rsidRPr="00AE7621">
        <w:t>arrendamiento</w:t>
      </w:r>
      <w:proofErr w:type="spellEnd"/>
      <w:r w:rsidR="007C4C3F">
        <w:rPr>
          <w:rStyle w:val="Appelnotedebasdep"/>
        </w:rPr>
        <w:footnoteReference w:id="1"/>
      </w:r>
      <w:r w:rsidRPr="00AE7621">
        <w:t xml:space="preserve"> </w:t>
      </w:r>
      <w:proofErr w:type="spellStart"/>
      <w:r w:rsidRPr="00AE7621">
        <w:t>debe</w:t>
      </w:r>
      <w:proofErr w:type="spellEnd"/>
      <w:r w:rsidRPr="00AE7621">
        <w:t xml:space="preserve"> </w:t>
      </w:r>
      <w:proofErr w:type="spellStart"/>
      <w:r w:rsidRPr="00AE7621">
        <w:t>confirmarse</w:t>
      </w:r>
      <w:proofErr w:type="spellEnd"/>
      <w:r w:rsidRPr="00AE7621">
        <w:t xml:space="preserve"> </w:t>
      </w:r>
      <w:proofErr w:type="spellStart"/>
      <w:r w:rsidRPr="00AE7621">
        <w:t>como</w:t>
      </w:r>
      <w:proofErr w:type="spellEnd"/>
      <w:r w:rsidRPr="00AE7621">
        <w:t xml:space="preserve"> </w:t>
      </w:r>
      <w:proofErr w:type="spellStart"/>
      <w:r w:rsidRPr="00AE7621">
        <w:t>una</w:t>
      </w:r>
      <w:proofErr w:type="spellEnd"/>
      <w:r w:rsidRPr="00AE7621">
        <w:t xml:space="preserve"> </w:t>
      </w:r>
      <w:proofErr w:type="spellStart"/>
      <w:r w:rsidRPr="00AE7621">
        <w:t>opción</w:t>
      </w:r>
      <w:proofErr w:type="spellEnd"/>
      <w:r w:rsidRPr="00AE7621">
        <w:t xml:space="preserve"> </w:t>
      </w:r>
      <w:proofErr w:type="spellStart"/>
      <w:r w:rsidRPr="00AE7621">
        <w:t>habitacional</w:t>
      </w:r>
      <w:proofErr w:type="spellEnd"/>
      <w:r w:rsidRPr="00AE7621">
        <w:t xml:space="preserve"> </w:t>
      </w:r>
      <w:proofErr w:type="spellStart"/>
      <w:r w:rsidRPr="00AE7621">
        <w:t>frente</w:t>
      </w:r>
      <w:proofErr w:type="spellEnd"/>
      <w:r w:rsidRPr="00AE7621">
        <w:t xml:space="preserve"> al </w:t>
      </w:r>
      <w:proofErr w:type="spellStart"/>
      <w:r w:rsidRPr="00AE7621">
        <w:t>aumento</w:t>
      </w:r>
      <w:proofErr w:type="spellEnd"/>
      <w:r w:rsidRPr="00AE7621">
        <w:t xml:space="preserve"> de  las </w:t>
      </w:r>
      <w:proofErr w:type="spellStart"/>
      <w:r w:rsidRPr="00AE7621">
        <w:t>compras</w:t>
      </w:r>
      <w:proofErr w:type="spellEnd"/>
      <w:r w:rsidRPr="00AE7621">
        <w:t xml:space="preserve">, en un </w:t>
      </w:r>
      <w:proofErr w:type="spellStart"/>
      <w:r w:rsidRPr="00AE7621">
        <w:t>país</w:t>
      </w:r>
      <w:proofErr w:type="spellEnd"/>
      <w:r w:rsidRPr="00AE7621">
        <w:t xml:space="preserve"> </w:t>
      </w:r>
      <w:proofErr w:type="spellStart"/>
      <w:r w:rsidRPr="00AE7621">
        <w:t>donde</w:t>
      </w:r>
      <w:proofErr w:type="spellEnd"/>
      <w:r w:rsidRPr="00AE7621">
        <w:t xml:space="preserve"> la </w:t>
      </w:r>
      <w:proofErr w:type="spellStart"/>
      <w:r w:rsidRPr="00AE7621">
        <w:t>propiedad</w:t>
      </w:r>
      <w:proofErr w:type="spellEnd"/>
      <w:r w:rsidRPr="00AE7621">
        <w:t xml:space="preserve"> </w:t>
      </w:r>
      <w:proofErr w:type="spellStart"/>
      <w:r w:rsidRPr="00AE7621">
        <w:t>supone</w:t>
      </w:r>
      <w:proofErr w:type="spellEnd"/>
      <w:r w:rsidRPr="00AE7621">
        <w:t xml:space="preserve"> el 77% </w:t>
      </w:r>
      <w:proofErr w:type="spellStart"/>
      <w:r w:rsidRPr="00AE7621">
        <w:t>del</w:t>
      </w:r>
      <w:proofErr w:type="spellEnd"/>
      <w:r w:rsidRPr="00AE7621">
        <w:t xml:space="preserve"> parque de </w:t>
      </w:r>
      <w:proofErr w:type="spellStart"/>
      <w:r w:rsidRPr="00AE7621">
        <w:t>viviendas</w:t>
      </w:r>
      <w:proofErr w:type="spellEnd"/>
      <w:r w:rsidRPr="00AE7621">
        <w:t>.</w:t>
      </w:r>
    </w:p>
    <w:p w:rsidR="00AE7621" w:rsidRPr="00AE7621" w:rsidRDefault="00AE7621" w:rsidP="00AE7621">
      <w:pPr>
        <w:jc w:val="both"/>
      </w:pPr>
      <w:r w:rsidRPr="00AE7621">
        <w:t xml:space="preserve">El </w:t>
      </w:r>
      <w:proofErr w:type="spellStart"/>
      <w:r w:rsidRPr="00AE7621">
        <w:rPr>
          <w:bCs/>
        </w:rPr>
        <w:t>mercado</w:t>
      </w:r>
      <w:proofErr w:type="spellEnd"/>
      <w:r w:rsidRPr="00AE7621">
        <w:rPr>
          <w:bCs/>
        </w:rPr>
        <w:t xml:space="preserve"> </w:t>
      </w:r>
      <w:proofErr w:type="spellStart"/>
      <w:r w:rsidRPr="00AE7621">
        <w:rPr>
          <w:bCs/>
        </w:rPr>
        <w:t>del</w:t>
      </w:r>
      <w:proofErr w:type="spellEnd"/>
      <w:r w:rsidRPr="00AE7621">
        <w:rPr>
          <w:bCs/>
        </w:rPr>
        <w:t xml:space="preserve"> </w:t>
      </w:r>
      <w:proofErr w:type="spellStart"/>
      <w:r w:rsidRPr="00AE7621">
        <w:rPr>
          <w:bCs/>
        </w:rPr>
        <w:t>alquiler</w:t>
      </w:r>
      <w:proofErr w:type="spellEnd"/>
      <w:r w:rsidRPr="00AE7621">
        <w:rPr>
          <w:bCs/>
        </w:rPr>
        <w:t xml:space="preserve"> no es </w:t>
      </w:r>
      <w:proofErr w:type="spellStart"/>
      <w:r w:rsidRPr="00AE7621">
        <w:rPr>
          <w:bCs/>
        </w:rPr>
        <w:t>homogéneo</w:t>
      </w:r>
      <w:proofErr w:type="spellEnd"/>
      <w:r w:rsidRPr="00AE7621">
        <w:t xml:space="preserve"> y </w:t>
      </w:r>
      <w:proofErr w:type="spellStart"/>
      <w:r w:rsidRPr="00AE7621">
        <w:t>existen</w:t>
      </w:r>
      <w:proofErr w:type="spellEnd"/>
      <w:r w:rsidRPr="00AE7621">
        <w:t xml:space="preserve"> </w:t>
      </w:r>
      <w:proofErr w:type="spellStart"/>
      <w:r w:rsidRPr="00AE7621">
        <w:t>desigualdades</w:t>
      </w:r>
      <w:proofErr w:type="spellEnd"/>
      <w:r w:rsidRPr="00AE7621">
        <w:t xml:space="preserve"> entre </w:t>
      </w:r>
      <w:proofErr w:type="spellStart"/>
      <w:r w:rsidRPr="00AE7621">
        <w:t>provincias</w:t>
      </w:r>
      <w:proofErr w:type="spellEnd"/>
      <w:r w:rsidRPr="00AE7621">
        <w:t xml:space="preserve"> </w:t>
      </w:r>
      <w:proofErr w:type="spellStart"/>
      <w:r w:rsidRPr="00AE7621">
        <w:t>dentro</w:t>
      </w:r>
      <w:proofErr w:type="spellEnd"/>
      <w:r w:rsidRPr="00AE7621">
        <w:t xml:space="preserve"> de </w:t>
      </w:r>
      <w:proofErr w:type="spellStart"/>
      <w:r w:rsidRPr="00AE7621">
        <w:t>una</w:t>
      </w:r>
      <w:proofErr w:type="spellEnd"/>
      <w:r w:rsidRPr="00AE7621">
        <w:t xml:space="preserve"> </w:t>
      </w:r>
      <w:proofErr w:type="spellStart"/>
      <w:r w:rsidRPr="00AE7621">
        <w:t>misma</w:t>
      </w:r>
      <w:proofErr w:type="spellEnd"/>
      <w:r w:rsidRPr="00AE7621">
        <w:t xml:space="preserve"> </w:t>
      </w:r>
      <w:proofErr w:type="spellStart"/>
      <w:r w:rsidRPr="00AE7621">
        <w:t>región</w:t>
      </w:r>
      <w:proofErr w:type="spellEnd"/>
      <w:r w:rsidRPr="00AE7621">
        <w:t xml:space="preserve">, entre </w:t>
      </w:r>
      <w:proofErr w:type="spellStart"/>
      <w:r w:rsidRPr="00AE7621">
        <w:t>ciudades</w:t>
      </w:r>
      <w:proofErr w:type="spellEnd"/>
      <w:r w:rsidRPr="00AE7621">
        <w:t xml:space="preserve"> </w:t>
      </w:r>
      <w:proofErr w:type="spellStart"/>
      <w:r w:rsidRPr="00AE7621">
        <w:t>dentro</w:t>
      </w:r>
      <w:proofErr w:type="spellEnd"/>
      <w:r w:rsidRPr="00AE7621">
        <w:t xml:space="preserve"> de la </w:t>
      </w:r>
      <w:proofErr w:type="spellStart"/>
      <w:r w:rsidRPr="00AE7621">
        <w:t>misma</w:t>
      </w:r>
      <w:proofErr w:type="spellEnd"/>
      <w:r w:rsidRPr="00AE7621">
        <w:t xml:space="preserve"> </w:t>
      </w:r>
      <w:proofErr w:type="spellStart"/>
      <w:r w:rsidRPr="00AE7621">
        <w:t>provincia</w:t>
      </w:r>
      <w:proofErr w:type="spellEnd"/>
      <w:r w:rsidRPr="00AE7621">
        <w:t xml:space="preserve"> y </w:t>
      </w:r>
      <w:proofErr w:type="spellStart"/>
      <w:r w:rsidRPr="00AE7621">
        <w:t>dentro</w:t>
      </w:r>
      <w:proofErr w:type="spellEnd"/>
      <w:r w:rsidRPr="00AE7621">
        <w:t xml:space="preserve"> de las </w:t>
      </w:r>
      <w:proofErr w:type="spellStart"/>
      <w:r w:rsidRPr="00AE7621">
        <w:t>propias</w:t>
      </w:r>
      <w:proofErr w:type="spellEnd"/>
      <w:r w:rsidRPr="00AE7621">
        <w:t xml:space="preserve"> </w:t>
      </w:r>
      <w:proofErr w:type="spellStart"/>
      <w:r w:rsidRPr="00AE7621">
        <w:t>ciudades</w:t>
      </w:r>
      <w:proofErr w:type="spellEnd"/>
      <w:r w:rsidRPr="00AE7621">
        <w:t xml:space="preserve">. Durante este </w:t>
      </w:r>
      <w:proofErr w:type="spellStart"/>
      <w:r w:rsidRPr="00AE7621">
        <w:t>año</w:t>
      </w:r>
      <w:proofErr w:type="spellEnd"/>
      <w:r w:rsidRPr="00AE7621">
        <w:t xml:space="preserve"> los </w:t>
      </w:r>
      <w:proofErr w:type="spellStart"/>
      <w:r w:rsidRPr="00AE7621">
        <w:t>precios</w:t>
      </w:r>
      <w:proofErr w:type="spellEnd"/>
      <w:r w:rsidRPr="00AE7621">
        <w:t xml:space="preserve"> han </w:t>
      </w:r>
      <w:proofErr w:type="spellStart"/>
      <w:r w:rsidRPr="00AE7621">
        <w:t>sufrido</w:t>
      </w:r>
      <w:proofErr w:type="spellEnd"/>
      <w:r w:rsidRPr="00AE7621">
        <w:t xml:space="preserve"> </w:t>
      </w:r>
      <w:proofErr w:type="spellStart"/>
      <w:r w:rsidRPr="00AE7621">
        <w:t>subidas</w:t>
      </w:r>
      <w:proofErr w:type="spellEnd"/>
      <w:r w:rsidRPr="00AE7621">
        <w:t xml:space="preserve"> y </w:t>
      </w:r>
      <w:proofErr w:type="spellStart"/>
      <w:r w:rsidRPr="00AE7621">
        <w:t>bajadas</w:t>
      </w:r>
      <w:proofErr w:type="spellEnd"/>
      <w:r w:rsidRPr="00AE7621">
        <w:t xml:space="preserve"> </w:t>
      </w:r>
      <w:proofErr w:type="spellStart"/>
      <w:r w:rsidRPr="00AE7621">
        <w:t>interanuales</w:t>
      </w:r>
      <w:proofErr w:type="spellEnd"/>
      <w:r w:rsidRPr="00AE7621">
        <w:t xml:space="preserve"> en los </w:t>
      </w:r>
      <w:proofErr w:type="spellStart"/>
      <w:r w:rsidRPr="00AE7621">
        <w:t>tres</w:t>
      </w:r>
      <w:proofErr w:type="spellEnd"/>
      <w:r w:rsidRPr="00AE7621">
        <w:t xml:space="preserve"> </w:t>
      </w:r>
      <w:proofErr w:type="spellStart"/>
      <w:r w:rsidRPr="00AE7621">
        <w:t>primeros</w:t>
      </w:r>
      <w:proofErr w:type="spellEnd"/>
      <w:r w:rsidRPr="00AE7621">
        <w:t xml:space="preserve"> trimestres.</w:t>
      </w:r>
    </w:p>
    <w:p w:rsidR="00AE7621" w:rsidRPr="00AE7621" w:rsidRDefault="00AE7621" w:rsidP="00AE7621">
      <w:pPr>
        <w:jc w:val="both"/>
      </w:pPr>
      <w:proofErr w:type="spellStart"/>
      <w:r w:rsidRPr="00AE7621">
        <w:t>Según</w:t>
      </w:r>
      <w:proofErr w:type="spellEnd"/>
      <w:r w:rsidRPr="00AE7621">
        <w:t xml:space="preserve"> el </w:t>
      </w:r>
      <w:hyperlink r:id="rId7" w:history="1">
        <w:proofErr w:type="spellStart"/>
        <w:r w:rsidRPr="00AE7621">
          <w:t>índice</w:t>
        </w:r>
        <w:proofErr w:type="spellEnd"/>
        <w:r w:rsidRPr="00AE7621">
          <w:t xml:space="preserve"> de </w:t>
        </w:r>
        <w:proofErr w:type="spellStart"/>
        <w:r w:rsidRPr="00AE7621">
          <w:t>precios</w:t>
        </w:r>
        <w:proofErr w:type="spellEnd"/>
        <w:r w:rsidRPr="00AE7621">
          <w:t xml:space="preserve"> </w:t>
        </w:r>
        <w:proofErr w:type="spellStart"/>
        <w:r w:rsidRPr="00AE7621">
          <w:t>del</w:t>
        </w:r>
        <w:proofErr w:type="spellEnd"/>
        <w:r w:rsidRPr="00AE7621">
          <w:t xml:space="preserve"> </w:t>
        </w:r>
        <w:proofErr w:type="spellStart"/>
        <w:r w:rsidRPr="00AE7621">
          <w:t>alquiler</w:t>
        </w:r>
        <w:proofErr w:type="spellEnd"/>
      </w:hyperlink>
      <w:r w:rsidRPr="00AE7621">
        <w:t xml:space="preserve"> la </w:t>
      </w:r>
      <w:bookmarkStart w:id="0" w:name="_GoBack"/>
      <w:bookmarkEnd w:id="0"/>
      <w:proofErr w:type="spellStart"/>
      <w:r w:rsidRPr="00AE7621">
        <w:rPr>
          <w:bCs/>
        </w:rPr>
        <w:t>Comunidad</w:t>
      </w:r>
      <w:proofErr w:type="spellEnd"/>
      <w:r w:rsidRPr="00AE7621">
        <w:rPr>
          <w:bCs/>
        </w:rPr>
        <w:t xml:space="preserve"> de Madrid</w:t>
      </w:r>
      <w:r w:rsidRPr="00AE7621">
        <w:t xml:space="preserve"> sigue </w:t>
      </w:r>
      <w:proofErr w:type="spellStart"/>
      <w:r w:rsidRPr="00AE7621">
        <w:t>siendo</w:t>
      </w:r>
      <w:proofErr w:type="spellEnd"/>
      <w:r w:rsidRPr="00AE7621">
        <w:t xml:space="preserve"> la </w:t>
      </w:r>
      <w:proofErr w:type="spellStart"/>
      <w:r w:rsidRPr="00AE7621">
        <w:t>autonomía</w:t>
      </w:r>
      <w:proofErr w:type="spellEnd"/>
      <w:r w:rsidRPr="00AE7621">
        <w:t xml:space="preserve"> </w:t>
      </w:r>
      <w:proofErr w:type="spellStart"/>
      <w:r w:rsidRPr="00AE7621">
        <w:t>más</w:t>
      </w:r>
      <w:proofErr w:type="spellEnd"/>
      <w:r w:rsidRPr="00AE7621">
        <w:t xml:space="preserve"> </w:t>
      </w:r>
      <w:proofErr w:type="spellStart"/>
      <w:r w:rsidRPr="00AE7621">
        <w:t>cara</w:t>
      </w:r>
      <w:proofErr w:type="spellEnd"/>
      <w:r w:rsidRPr="00AE7621">
        <w:t xml:space="preserve">, </w:t>
      </w:r>
      <w:proofErr w:type="spellStart"/>
      <w:r w:rsidRPr="00AE7621">
        <w:t>seguida</w:t>
      </w:r>
      <w:proofErr w:type="spellEnd"/>
      <w:r w:rsidRPr="00AE7621">
        <w:t xml:space="preserve"> de </w:t>
      </w:r>
      <w:proofErr w:type="spellStart"/>
      <w:r w:rsidRPr="00AE7621">
        <w:t>Euskadi</w:t>
      </w:r>
      <w:proofErr w:type="spellEnd"/>
      <w:r w:rsidRPr="00AE7621">
        <w:t xml:space="preserve">, </w:t>
      </w:r>
      <w:proofErr w:type="spellStart"/>
      <w:r w:rsidRPr="00AE7621">
        <w:t>Cataluña</w:t>
      </w:r>
      <w:proofErr w:type="spellEnd"/>
      <w:r w:rsidRPr="00AE7621">
        <w:t xml:space="preserve"> y las </w:t>
      </w:r>
      <w:proofErr w:type="spellStart"/>
      <w:r w:rsidRPr="00AE7621">
        <w:t>Islas</w:t>
      </w:r>
      <w:proofErr w:type="spellEnd"/>
      <w:r w:rsidRPr="00AE7621">
        <w:t xml:space="preserve"> </w:t>
      </w:r>
      <w:proofErr w:type="spellStart"/>
      <w:r w:rsidRPr="00AE7621">
        <w:t>Baleares</w:t>
      </w:r>
      <w:proofErr w:type="spellEnd"/>
      <w:r w:rsidRPr="00AE7621">
        <w:t xml:space="preserve">. Las </w:t>
      </w:r>
      <w:proofErr w:type="spellStart"/>
      <w:r w:rsidRPr="00AE7621">
        <w:t>comunidades</w:t>
      </w:r>
      <w:proofErr w:type="spellEnd"/>
      <w:r w:rsidRPr="00AE7621">
        <w:t xml:space="preserve"> </w:t>
      </w:r>
      <w:proofErr w:type="spellStart"/>
      <w:r w:rsidRPr="00AE7621">
        <w:t>más</w:t>
      </w:r>
      <w:proofErr w:type="spellEnd"/>
      <w:r w:rsidRPr="00AE7621">
        <w:t xml:space="preserve"> </w:t>
      </w:r>
      <w:proofErr w:type="spellStart"/>
      <w:r w:rsidRPr="00AE7621">
        <w:t>económicas</w:t>
      </w:r>
      <w:proofErr w:type="spellEnd"/>
      <w:r w:rsidRPr="00AE7621">
        <w:t xml:space="preserve"> son Extremadura, Castilla La </w:t>
      </w:r>
      <w:proofErr w:type="spellStart"/>
      <w:r w:rsidRPr="00AE7621">
        <w:t>Mancha</w:t>
      </w:r>
      <w:proofErr w:type="spellEnd"/>
      <w:r w:rsidRPr="00AE7621">
        <w:t xml:space="preserve"> y La Rioja.</w:t>
      </w:r>
    </w:p>
    <w:p w:rsidR="00AE7621" w:rsidRPr="00AE7621" w:rsidRDefault="00AE7621" w:rsidP="00AE7621">
      <w:pPr>
        <w:jc w:val="both"/>
      </w:pPr>
      <w:proofErr w:type="spellStart"/>
      <w:r w:rsidRPr="00AE7621">
        <w:t>Esto</w:t>
      </w:r>
      <w:proofErr w:type="spellEnd"/>
      <w:r w:rsidRPr="00AE7621">
        <w:t xml:space="preserve"> </w:t>
      </w:r>
      <w:proofErr w:type="spellStart"/>
      <w:r w:rsidRPr="00AE7621">
        <w:t>demuestra</w:t>
      </w:r>
      <w:proofErr w:type="spellEnd"/>
      <w:r w:rsidRPr="00AE7621">
        <w:t xml:space="preserve"> la </w:t>
      </w:r>
      <w:proofErr w:type="spellStart"/>
      <w:r w:rsidRPr="00AE7621">
        <w:t>polarización</w:t>
      </w:r>
      <w:proofErr w:type="spellEnd"/>
      <w:r w:rsidRPr="00AE7621">
        <w:t xml:space="preserve"> de los </w:t>
      </w:r>
      <w:hyperlink r:id="rId8" w:history="1">
        <w:proofErr w:type="spellStart"/>
        <w:r w:rsidRPr="00AE7621">
          <w:t>mercado</w:t>
        </w:r>
        <w:proofErr w:type="spellEnd"/>
        <w:r w:rsidRPr="00AE7621">
          <w:t xml:space="preserve"> de </w:t>
        </w:r>
        <w:proofErr w:type="spellStart"/>
        <w:r w:rsidRPr="00AE7621">
          <w:t>alquiler</w:t>
        </w:r>
        <w:proofErr w:type="spellEnd"/>
        <w:r w:rsidRPr="00AE7621">
          <w:t xml:space="preserve"> en España</w:t>
        </w:r>
      </w:hyperlink>
      <w:r w:rsidRPr="00AE7621">
        <w:t xml:space="preserve">, con Barcelona, Madrid y San </w:t>
      </w:r>
      <w:proofErr w:type="spellStart"/>
      <w:r w:rsidRPr="00AE7621">
        <w:t>Sebastián</w:t>
      </w:r>
      <w:proofErr w:type="spellEnd"/>
      <w:r w:rsidRPr="00AE7621">
        <w:t xml:space="preserve"> </w:t>
      </w:r>
      <w:proofErr w:type="spellStart"/>
      <w:r w:rsidRPr="00AE7621">
        <w:t>como</w:t>
      </w:r>
      <w:proofErr w:type="spellEnd"/>
      <w:r w:rsidRPr="00AE7621">
        <w:t xml:space="preserve"> las </w:t>
      </w:r>
      <w:proofErr w:type="spellStart"/>
      <w:r w:rsidRPr="00AE7621">
        <w:t>ciudades</w:t>
      </w:r>
      <w:proofErr w:type="spellEnd"/>
      <w:r w:rsidRPr="00AE7621">
        <w:t xml:space="preserve"> </w:t>
      </w:r>
      <w:proofErr w:type="spellStart"/>
      <w:r w:rsidRPr="00AE7621">
        <w:t>más</w:t>
      </w:r>
      <w:proofErr w:type="spellEnd"/>
      <w:r w:rsidRPr="00AE7621">
        <w:t xml:space="preserve"> </w:t>
      </w:r>
      <w:proofErr w:type="spellStart"/>
      <w:r w:rsidRPr="00AE7621">
        <w:t>caras</w:t>
      </w:r>
      <w:proofErr w:type="spellEnd"/>
      <w:r w:rsidRPr="00AE7621">
        <w:t xml:space="preserve"> y en </w:t>
      </w:r>
      <w:proofErr w:type="spellStart"/>
      <w:r w:rsidRPr="00AE7621">
        <w:t>aumento</w:t>
      </w:r>
      <w:proofErr w:type="spellEnd"/>
      <w:r w:rsidRPr="00AE7621">
        <w:t xml:space="preserve"> </w:t>
      </w:r>
      <w:proofErr w:type="spellStart"/>
      <w:r w:rsidRPr="00AE7621">
        <w:t>frente</w:t>
      </w:r>
      <w:proofErr w:type="spellEnd"/>
      <w:r w:rsidRPr="00AE7621">
        <w:t xml:space="preserve"> al resto de </w:t>
      </w:r>
      <w:proofErr w:type="spellStart"/>
      <w:r w:rsidRPr="00AE7621">
        <w:t>ciudades</w:t>
      </w:r>
      <w:proofErr w:type="spellEnd"/>
      <w:r w:rsidRPr="00AE7621">
        <w:t xml:space="preserve"> </w:t>
      </w:r>
      <w:proofErr w:type="spellStart"/>
      <w:r w:rsidRPr="00AE7621">
        <w:t>del</w:t>
      </w:r>
      <w:proofErr w:type="spellEnd"/>
      <w:r w:rsidRPr="00AE7621">
        <w:t xml:space="preserve"> </w:t>
      </w:r>
      <w:proofErr w:type="spellStart"/>
      <w:r w:rsidRPr="00AE7621">
        <w:t>país</w:t>
      </w:r>
      <w:proofErr w:type="spellEnd"/>
      <w:r w:rsidRPr="00AE7621">
        <w:t xml:space="preserve">. </w:t>
      </w:r>
      <w:proofErr w:type="spellStart"/>
      <w:r w:rsidRPr="00AE7621">
        <w:t>Por</w:t>
      </w:r>
      <w:proofErr w:type="spellEnd"/>
      <w:r w:rsidRPr="00AE7621">
        <w:t xml:space="preserve"> </w:t>
      </w:r>
      <w:proofErr w:type="spellStart"/>
      <w:r w:rsidRPr="00AE7621">
        <w:t>comparar</w:t>
      </w:r>
      <w:proofErr w:type="spellEnd"/>
      <w:r w:rsidRPr="00AE7621">
        <w:t xml:space="preserve">, Lugo y </w:t>
      </w:r>
      <w:proofErr w:type="spellStart"/>
      <w:r w:rsidRPr="00AE7621">
        <w:t>Ourense</w:t>
      </w:r>
      <w:proofErr w:type="spellEnd"/>
      <w:r w:rsidRPr="00AE7621">
        <w:t xml:space="preserve"> son las capitales </w:t>
      </w:r>
      <w:proofErr w:type="spellStart"/>
      <w:r w:rsidRPr="00AE7621">
        <w:t>más</w:t>
      </w:r>
      <w:proofErr w:type="spellEnd"/>
      <w:r w:rsidRPr="00AE7621">
        <w:t xml:space="preserve"> </w:t>
      </w:r>
      <w:proofErr w:type="spellStart"/>
      <w:r w:rsidRPr="00AE7621">
        <w:t>económicas</w:t>
      </w:r>
      <w:proofErr w:type="spellEnd"/>
      <w:r w:rsidRPr="00AE7621">
        <w:t>.</w:t>
      </w:r>
    </w:p>
    <w:p w:rsidR="00AE7621" w:rsidRPr="00AE7621" w:rsidRDefault="00AE7621" w:rsidP="00AE7621">
      <w:pPr>
        <w:jc w:val="both"/>
      </w:pPr>
      <w:proofErr w:type="spellStart"/>
      <w:r w:rsidRPr="00AE7621">
        <w:t>Cada</w:t>
      </w:r>
      <w:proofErr w:type="spellEnd"/>
      <w:r w:rsidRPr="00AE7621">
        <w:t xml:space="preserve"> </w:t>
      </w:r>
      <w:proofErr w:type="spellStart"/>
      <w:r w:rsidRPr="00AE7621">
        <w:t>vez</w:t>
      </w:r>
      <w:proofErr w:type="spellEnd"/>
      <w:r w:rsidRPr="00AE7621">
        <w:t xml:space="preserve"> son </w:t>
      </w:r>
      <w:proofErr w:type="spellStart"/>
      <w:r w:rsidRPr="00AE7621">
        <w:t>más</w:t>
      </w:r>
      <w:proofErr w:type="spellEnd"/>
      <w:r w:rsidRPr="00AE7621">
        <w:t xml:space="preserve"> las </w:t>
      </w:r>
      <w:proofErr w:type="spellStart"/>
      <w:r w:rsidRPr="00AE7621">
        <w:t>personas</w:t>
      </w:r>
      <w:proofErr w:type="spellEnd"/>
      <w:r w:rsidRPr="00AE7621">
        <w:t xml:space="preserve"> que se </w:t>
      </w:r>
      <w:proofErr w:type="spellStart"/>
      <w:r w:rsidRPr="00AE7621">
        <w:t>están</w:t>
      </w:r>
      <w:proofErr w:type="spellEnd"/>
      <w:r w:rsidRPr="00AE7621">
        <w:t xml:space="preserve"> </w:t>
      </w:r>
      <w:proofErr w:type="spellStart"/>
      <w:r w:rsidRPr="00AE7621">
        <w:t>decidiendo</w:t>
      </w:r>
      <w:proofErr w:type="spellEnd"/>
      <w:r w:rsidRPr="00AE7621">
        <w:t xml:space="preserve"> </w:t>
      </w:r>
      <w:proofErr w:type="spellStart"/>
      <w:r w:rsidRPr="00AE7621">
        <w:t>por</w:t>
      </w:r>
      <w:proofErr w:type="spellEnd"/>
      <w:r w:rsidRPr="00AE7621">
        <w:t xml:space="preserve"> </w:t>
      </w:r>
      <w:hyperlink r:id="rId9" w:history="1">
        <w:proofErr w:type="spellStart"/>
        <w:r w:rsidRPr="00AE7621">
          <w:t>alquilar</w:t>
        </w:r>
        <w:proofErr w:type="spellEnd"/>
        <w:r w:rsidRPr="00AE7621">
          <w:t xml:space="preserve"> </w:t>
        </w:r>
        <w:proofErr w:type="spellStart"/>
        <w:r w:rsidRPr="00AE7621">
          <w:t>frente</w:t>
        </w:r>
        <w:proofErr w:type="spellEnd"/>
        <w:r w:rsidRPr="00AE7621">
          <w:t xml:space="preserve"> a la </w:t>
        </w:r>
        <w:proofErr w:type="spellStart"/>
        <w:r w:rsidRPr="00AE7621">
          <w:t>compra</w:t>
        </w:r>
        <w:proofErr w:type="spellEnd"/>
      </w:hyperlink>
      <w:r w:rsidRPr="00AE7621">
        <w:t xml:space="preserve">. La </w:t>
      </w:r>
      <w:proofErr w:type="spellStart"/>
      <w:r w:rsidRPr="00AE7621">
        <w:t>población</w:t>
      </w:r>
      <w:proofErr w:type="spellEnd"/>
      <w:r w:rsidRPr="00AE7621">
        <w:t xml:space="preserve"> </w:t>
      </w:r>
      <w:proofErr w:type="spellStart"/>
      <w:r w:rsidRPr="00AE7621">
        <w:t>joven</w:t>
      </w:r>
      <w:proofErr w:type="spellEnd"/>
      <w:r w:rsidRPr="00AE7621">
        <w:t xml:space="preserve">, que tarda </w:t>
      </w:r>
      <w:proofErr w:type="spellStart"/>
      <w:r w:rsidRPr="00AE7621">
        <w:t>más</w:t>
      </w:r>
      <w:proofErr w:type="spellEnd"/>
      <w:r w:rsidRPr="00AE7621">
        <w:t xml:space="preserve"> </w:t>
      </w:r>
      <w:proofErr w:type="spellStart"/>
      <w:r w:rsidRPr="00AE7621">
        <w:t>emanciparse</w:t>
      </w:r>
      <w:proofErr w:type="spellEnd"/>
      <w:r w:rsidRPr="00AE7621">
        <w:t xml:space="preserve">, sale </w:t>
      </w:r>
      <w:proofErr w:type="spellStart"/>
      <w:r w:rsidRPr="00AE7621">
        <w:t>del</w:t>
      </w:r>
      <w:proofErr w:type="spellEnd"/>
      <w:r w:rsidRPr="00AE7621">
        <w:t xml:space="preserve"> </w:t>
      </w:r>
      <w:proofErr w:type="spellStart"/>
      <w:r w:rsidRPr="00AE7621">
        <w:t>hogar</w:t>
      </w:r>
      <w:proofErr w:type="spellEnd"/>
      <w:r w:rsidR="007C4C3F">
        <w:rPr>
          <w:rStyle w:val="Appelnotedebasdep"/>
        </w:rPr>
        <w:footnoteReference w:id="2"/>
      </w:r>
      <w:r w:rsidRPr="00AE7621">
        <w:t xml:space="preserve"> </w:t>
      </w:r>
      <w:proofErr w:type="spellStart"/>
      <w:r w:rsidRPr="00AE7621">
        <w:t>paternal</w:t>
      </w:r>
      <w:proofErr w:type="spellEnd"/>
      <w:r w:rsidRPr="00AE7621">
        <w:t xml:space="preserve"> para </w:t>
      </w:r>
      <w:proofErr w:type="spellStart"/>
      <w:r w:rsidRPr="00AE7621">
        <w:t>acceder</w:t>
      </w:r>
      <w:proofErr w:type="spellEnd"/>
      <w:r w:rsidRPr="00AE7621">
        <w:t xml:space="preserve"> </w:t>
      </w:r>
      <w:proofErr w:type="spellStart"/>
      <w:r w:rsidRPr="00AE7621">
        <w:t>por</w:t>
      </w:r>
      <w:proofErr w:type="spellEnd"/>
      <w:r w:rsidRPr="00AE7621">
        <w:t xml:space="preserve"> primera </w:t>
      </w:r>
      <w:proofErr w:type="spellStart"/>
      <w:r w:rsidRPr="00AE7621">
        <w:t>vez</w:t>
      </w:r>
      <w:proofErr w:type="spellEnd"/>
      <w:r w:rsidRPr="00AE7621">
        <w:t xml:space="preserve"> a </w:t>
      </w:r>
      <w:proofErr w:type="spellStart"/>
      <w:r w:rsidRPr="00AE7621">
        <w:t>una</w:t>
      </w:r>
      <w:proofErr w:type="spellEnd"/>
      <w:r w:rsidRPr="00AE7621">
        <w:t xml:space="preserve"> </w:t>
      </w:r>
      <w:proofErr w:type="spellStart"/>
      <w:r w:rsidRPr="00AE7621">
        <w:t>vivienda</w:t>
      </w:r>
      <w:proofErr w:type="spellEnd"/>
      <w:r w:rsidRPr="00AE7621">
        <w:t xml:space="preserve"> a </w:t>
      </w:r>
      <w:proofErr w:type="spellStart"/>
      <w:r w:rsidRPr="00AE7621">
        <w:t>través</w:t>
      </w:r>
      <w:proofErr w:type="spellEnd"/>
      <w:r w:rsidRPr="00AE7621">
        <w:t xml:space="preserve"> </w:t>
      </w:r>
      <w:proofErr w:type="spellStart"/>
      <w:r w:rsidRPr="00AE7621">
        <w:t>del</w:t>
      </w:r>
      <w:proofErr w:type="spellEnd"/>
      <w:r w:rsidRPr="00AE7621">
        <w:t xml:space="preserve"> </w:t>
      </w:r>
      <w:proofErr w:type="spellStart"/>
      <w:r w:rsidRPr="00AE7621">
        <w:t>arrendamiento</w:t>
      </w:r>
      <w:proofErr w:type="spellEnd"/>
      <w:r w:rsidRPr="00AE7621">
        <w:t xml:space="preserve">. Las </w:t>
      </w:r>
      <w:proofErr w:type="spellStart"/>
      <w:r w:rsidRPr="00AE7621">
        <w:t>dificultades</w:t>
      </w:r>
      <w:proofErr w:type="spellEnd"/>
      <w:r w:rsidRPr="00AE7621">
        <w:t xml:space="preserve"> </w:t>
      </w:r>
      <w:proofErr w:type="spellStart"/>
      <w:r w:rsidRPr="00AE7621">
        <w:t>económicas</w:t>
      </w:r>
      <w:proofErr w:type="spellEnd"/>
      <w:r w:rsidRPr="00AE7621">
        <w:t xml:space="preserve"> han </w:t>
      </w:r>
      <w:proofErr w:type="spellStart"/>
      <w:r w:rsidRPr="00AE7621">
        <w:t>hecho</w:t>
      </w:r>
      <w:proofErr w:type="spellEnd"/>
      <w:r w:rsidRPr="00AE7621">
        <w:t xml:space="preserve"> </w:t>
      </w:r>
      <w:proofErr w:type="spellStart"/>
      <w:r w:rsidRPr="00AE7621">
        <w:t>también</w:t>
      </w:r>
      <w:proofErr w:type="spellEnd"/>
      <w:r w:rsidRPr="00AE7621">
        <w:t xml:space="preserve"> que </w:t>
      </w:r>
      <w:proofErr w:type="spellStart"/>
      <w:r w:rsidRPr="00AE7621">
        <w:t>muchos</w:t>
      </w:r>
      <w:proofErr w:type="spellEnd"/>
      <w:r w:rsidRPr="00AE7621">
        <w:t xml:space="preserve"> se </w:t>
      </w:r>
      <w:proofErr w:type="spellStart"/>
      <w:r w:rsidRPr="00AE7621">
        <w:t>lo</w:t>
      </w:r>
      <w:proofErr w:type="spellEnd"/>
      <w:r w:rsidRPr="00AE7621">
        <w:t xml:space="preserve"> </w:t>
      </w:r>
      <w:proofErr w:type="spellStart"/>
      <w:r w:rsidRPr="00AE7621">
        <w:t>piensen</w:t>
      </w:r>
      <w:proofErr w:type="spellEnd"/>
      <w:r w:rsidRPr="00AE7621">
        <w:t xml:space="preserve"> dos </w:t>
      </w:r>
      <w:proofErr w:type="spellStart"/>
      <w:r w:rsidRPr="00AE7621">
        <w:t>veces</w:t>
      </w:r>
      <w:proofErr w:type="spellEnd"/>
      <w:r w:rsidRPr="00AE7621">
        <w:t xml:space="preserve"> antes de </w:t>
      </w:r>
      <w:proofErr w:type="spellStart"/>
      <w:r w:rsidRPr="00AE7621">
        <w:t>comprar</w:t>
      </w:r>
      <w:proofErr w:type="spellEnd"/>
      <w:r w:rsidRPr="00AE7621">
        <w:t xml:space="preserve">, </w:t>
      </w:r>
      <w:proofErr w:type="spellStart"/>
      <w:r w:rsidRPr="00AE7621">
        <w:t>además</w:t>
      </w:r>
      <w:proofErr w:type="spellEnd"/>
      <w:r w:rsidRPr="00AE7621">
        <w:t xml:space="preserve"> de que los bancos </w:t>
      </w:r>
      <w:proofErr w:type="spellStart"/>
      <w:r w:rsidRPr="00AE7621">
        <w:t>mantienen</w:t>
      </w:r>
      <w:proofErr w:type="spellEnd"/>
      <w:r w:rsidRPr="00AE7621">
        <w:t xml:space="preserve"> </w:t>
      </w:r>
      <w:proofErr w:type="spellStart"/>
      <w:r w:rsidRPr="00AE7621">
        <w:t>condiciones</w:t>
      </w:r>
      <w:proofErr w:type="spellEnd"/>
      <w:r w:rsidRPr="00AE7621">
        <w:t xml:space="preserve"> </w:t>
      </w:r>
      <w:proofErr w:type="spellStart"/>
      <w:r w:rsidRPr="00AE7621">
        <w:t>estrictas</w:t>
      </w:r>
      <w:proofErr w:type="spellEnd"/>
      <w:r w:rsidRPr="00AE7621">
        <w:t xml:space="preserve"> para </w:t>
      </w:r>
      <w:proofErr w:type="spellStart"/>
      <w:r w:rsidRPr="00AE7621">
        <w:t>conceder</w:t>
      </w:r>
      <w:proofErr w:type="spellEnd"/>
      <w:r w:rsidRPr="00AE7621">
        <w:t xml:space="preserve"> </w:t>
      </w:r>
      <w:proofErr w:type="spellStart"/>
      <w:r w:rsidRPr="00AE7621">
        <w:t>créditos</w:t>
      </w:r>
      <w:proofErr w:type="spellEnd"/>
      <w:r w:rsidRPr="00AE7621">
        <w:t xml:space="preserve"> </w:t>
      </w:r>
      <w:proofErr w:type="spellStart"/>
      <w:r w:rsidRPr="00AE7621">
        <w:t>hipotecarios</w:t>
      </w:r>
      <w:proofErr w:type="spellEnd"/>
      <w:r w:rsidRPr="00AE7621">
        <w:t xml:space="preserve">, </w:t>
      </w:r>
      <w:proofErr w:type="spellStart"/>
      <w:r w:rsidRPr="00AE7621">
        <w:t>por</w:t>
      </w:r>
      <w:proofErr w:type="spellEnd"/>
      <w:r w:rsidRPr="00AE7621">
        <w:t xml:space="preserve"> </w:t>
      </w:r>
      <w:proofErr w:type="spellStart"/>
      <w:r w:rsidRPr="00AE7621">
        <w:t>lo</w:t>
      </w:r>
      <w:proofErr w:type="spellEnd"/>
      <w:r w:rsidRPr="00AE7621">
        <w:t xml:space="preserve"> que se </w:t>
      </w:r>
      <w:proofErr w:type="spellStart"/>
      <w:r w:rsidRPr="00AE7621">
        <w:t>decantan</w:t>
      </w:r>
      <w:proofErr w:type="spellEnd"/>
      <w:r w:rsidR="007C4C3F">
        <w:rPr>
          <w:rStyle w:val="Appelnotedebasdep"/>
        </w:rPr>
        <w:footnoteReference w:id="3"/>
      </w:r>
      <w:r w:rsidRPr="00AE7621">
        <w:t xml:space="preserve"> </w:t>
      </w:r>
      <w:proofErr w:type="spellStart"/>
      <w:r w:rsidRPr="00AE7621">
        <w:t>por</w:t>
      </w:r>
      <w:proofErr w:type="spellEnd"/>
      <w:r w:rsidRPr="00AE7621">
        <w:t xml:space="preserve"> el </w:t>
      </w:r>
      <w:proofErr w:type="spellStart"/>
      <w:r w:rsidRPr="00AE7621">
        <w:t>alquiler</w:t>
      </w:r>
      <w:proofErr w:type="spellEnd"/>
      <w:r w:rsidRPr="00AE7621">
        <w:t>.</w:t>
      </w:r>
    </w:p>
    <w:p w:rsidR="00AE7621" w:rsidRPr="00AE7621" w:rsidRDefault="00AE7621" w:rsidP="00AE7621">
      <w:pPr>
        <w:jc w:val="both"/>
      </w:pPr>
      <w:r w:rsidRPr="00AE7621">
        <w:t xml:space="preserve">En un </w:t>
      </w:r>
      <w:proofErr w:type="spellStart"/>
      <w:r w:rsidRPr="00AE7621">
        <w:t>país</w:t>
      </w:r>
      <w:proofErr w:type="spellEnd"/>
      <w:r w:rsidRPr="00AE7621">
        <w:t xml:space="preserve"> </w:t>
      </w:r>
      <w:proofErr w:type="spellStart"/>
      <w:r w:rsidRPr="00AE7621">
        <w:t>donde</w:t>
      </w:r>
      <w:proofErr w:type="spellEnd"/>
      <w:r w:rsidRPr="00AE7621">
        <w:t xml:space="preserve"> </w:t>
      </w:r>
      <w:proofErr w:type="spellStart"/>
      <w:r w:rsidRPr="00AE7621">
        <w:t>predomina</w:t>
      </w:r>
      <w:proofErr w:type="spellEnd"/>
      <w:r w:rsidRPr="00AE7621">
        <w:t xml:space="preserve"> la </w:t>
      </w:r>
      <w:proofErr w:type="spellStart"/>
      <w:r w:rsidRPr="00AE7621">
        <w:t>propiedad</w:t>
      </w:r>
      <w:proofErr w:type="spellEnd"/>
      <w:r w:rsidRPr="00AE7621">
        <w:t xml:space="preserve">, </w:t>
      </w:r>
      <w:proofErr w:type="spellStart"/>
      <w:r w:rsidRPr="00AE7621">
        <w:t>fomentar</w:t>
      </w:r>
      <w:proofErr w:type="spellEnd"/>
      <w:r w:rsidRPr="00AE7621">
        <w:t xml:space="preserve"> el </w:t>
      </w:r>
      <w:proofErr w:type="spellStart"/>
      <w:r w:rsidRPr="00AE7621">
        <w:t>alquiler</w:t>
      </w:r>
      <w:proofErr w:type="spellEnd"/>
      <w:r w:rsidRPr="00AE7621">
        <w:t xml:space="preserve"> </w:t>
      </w:r>
      <w:proofErr w:type="spellStart"/>
      <w:r w:rsidRPr="00AE7621">
        <w:t>como</w:t>
      </w:r>
      <w:proofErr w:type="spellEnd"/>
      <w:r w:rsidRPr="00AE7621">
        <w:t xml:space="preserve"> </w:t>
      </w:r>
      <w:proofErr w:type="spellStart"/>
      <w:r w:rsidRPr="00AE7621">
        <w:t>opción</w:t>
      </w:r>
      <w:proofErr w:type="spellEnd"/>
      <w:r w:rsidRPr="00AE7621">
        <w:t xml:space="preserve"> de </w:t>
      </w:r>
      <w:proofErr w:type="spellStart"/>
      <w:r w:rsidRPr="00AE7621">
        <w:t>habitabilidad</w:t>
      </w:r>
      <w:proofErr w:type="spellEnd"/>
      <w:r w:rsidRPr="00AE7621">
        <w:t xml:space="preserve"> </w:t>
      </w:r>
      <w:proofErr w:type="spellStart"/>
      <w:r w:rsidRPr="00AE7621">
        <w:t>lleva</w:t>
      </w:r>
      <w:proofErr w:type="spellEnd"/>
      <w:r w:rsidRPr="00AE7621">
        <w:t xml:space="preserve"> un </w:t>
      </w:r>
      <w:proofErr w:type="spellStart"/>
      <w:r w:rsidRPr="00AE7621">
        <w:t>tiempo</w:t>
      </w:r>
      <w:proofErr w:type="spellEnd"/>
      <w:r w:rsidRPr="00AE7621">
        <w:t xml:space="preserve"> para que </w:t>
      </w:r>
      <w:proofErr w:type="spellStart"/>
      <w:r w:rsidRPr="00AE7621">
        <w:t>arraigue</w:t>
      </w:r>
      <w:proofErr w:type="spellEnd"/>
      <w:r w:rsidR="007C4C3F">
        <w:rPr>
          <w:rStyle w:val="Appelnotedebasdep"/>
        </w:rPr>
        <w:footnoteReference w:id="4"/>
      </w:r>
      <w:r w:rsidRPr="00AE7621">
        <w:t xml:space="preserve">, y son los </w:t>
      </w:r>
      <w:proofErr w:type="spellStart"/>
      <w:r w:rsidRPr="00AE7621">
        <w:t>jóvenes</w:t>
      </w:r>
      <w:proofErr w:type="spellEnd"/>
      <w:r w:rsidRPr="00AE7621">
        <w:t xml:space="preserve"> los que </w:t>
      </w:r>
      <w:proofErr w:type="spellStart"/>
      <w:r w:rsidRPr="00AE7621">
        <w:t>tienen</w:t>
      </w:r>
      <w:proofErr w:type="spellEnd"/>
      <w:r w:rsidRPr="00AE7621">
        <w:t xml:space="preserve"> la </w:t>
      </w:r>
      <w:proofErr w:type="spellStart"/>
      <w:r w:rsidRPr="00AE7621">
        <w:t>llave</w:t>
      </w:r>
      <w:proofErr w:type="spellEnd"/>
      <w:r w:rsidRPr="00AE7621">
        <w:t xml:space="preserve"> para </w:t>
      </w:r>
      <w:proofErr w:type="spellStart"/>
      <w:r w:rsidRPr="00AE7621">
        <w:t>cambiar</w:t>
      </w:r>
      <w:proofErr w:type="spellEnd"/>
      <w:r w:rsidRPr="00AE7621">
        <w:t xml:space="preserve"> y </w:t>
      </w:r>
      <w:proofErr w:type="spellStart"/>
      <w:r w:rsidR="007C4C3F">
        <w:t>igualar</w:t>
      </w:r>
      <w:proofErr w:type="spellEnd"/>
      <w:r w:rsidRPr="00AE7621">
        <w:t xml:space="preserve"> el </w:t>
      </w:r>
      <w:proofErr w:type="spellStart"/>
      <w:r w:rsidRPr="00AE7621">
        <w:t>alquiler</w:t>
      </w:r>
      <w:proofErr w:type="spellEnd"/>
      <w:r w:rsidRPr="00AE7621">
        <w:t xml:space="preserve"> con la </w:t>
      </w:r>
      <w:proofErr w:type="spellStart"/>
      <w:r w:rsidRPr="00AE7621">
        <w:t>propiedad</w:t>
      </w:r>
      <w:proofErr w:type="spellEnd"/>
      <w:r w:rsidRPr="00AE7621">
        <w:t xml:space="preserve">, </w:t>
      </w:r>
      <w:proofErr w:type="spellStart"/>
      <w:r w:rsidRPr="00AE7621">
        <w:t>según</w:t>
      </w:r>
      <w:proofErr w:type="spellEnd"/>
      <w:r w:rsidRPr="00AE7621">
        <w:t xml:space="preserve"> la </w:t>
      </w:r>
      <w:proofErr w:type="spellStart"/>
      <w:r w:rsidRPr="00AE7621">
        <w:t>opinión</w:t>
      </w:r>
      <w:proofErr w:type="spellEnd"/>
      <w:r w:rsidRPr="00AE7621">
        <w:t xml:space="preserve"> de </w:t>
      </w:r>
      <w:proofErr w:type="spellStart"/>
      <w:r w:rsidRPr="00AE7621">
        <w:t>varios</w:t>
      </w:r>
      <w:proofErr w:type="spellEnd"/>
      <w:r w:rsidRPr="00AE7621">
        <w:t xml:space="preserve"> </w:t>
      </w:r>
      <w:proofErr w:type="spellStart"/>
      <w:r w:rsidRPr="00AE7621">
        <w:t>expertos</w:t>
      </w:r>
      <w:proofErr w:type="spellEnd"/>
      <w:r w:rsidRPr="00AE7621">
        <w:t xml:space="preserve">. </w:t>
      </w:r>
    </w:p>
    <w:p w:rsidR="00AE7621" w:rsidRPr="00AE7621" w:rsidRDefault="00AE7621" w:rsidP="00AE7621">
      <w:pPr>
        <w:jc w:val="both"/>
      </w:pPr>
      <w:r w:rsidRPr="00AE7621">
        <w:t xml:space="preserve">“Antes se </w:t>
      </w:r>
      <w:proofErr w:type="spellStart"/>
      <w:r w:rsidRPr="00AE7621">
        <w:t>prefería</w:t>
      </w:r>
      <w:proofErr w:type="spellEnd"/>
      <w:r w:rsidRPr="00AE7621">
        <w:t xml:space="preserve"> </w:t>
      </w:r>
      <w:proofErr w:type="spellStart"/>
      <w:r w:rsidRPr="00AE7621">
        <w:t>tener</w:t>
      </w:r>
      <w:proofErr w:type="spellEnd"/>
      <w:r w:rsidRPr="00AE7621">
        <w:t xml:space="preserve"> las casas </w:t>
      </w:r>
      <w:proofErr w:type="spellStart"/>
      <w:r w:rsidRPr="00AE7621">
        <w:t>cerradas</w:t>
      </w:r>
      <w:proofErr w:type="spellEnd"/>
      <w:r w:rsidRPr="00AE7621">
        <w:t xml:space="preserve"> a </w:t>
      </w:r>
      <w:proofErr w:type="spellStart"/>
      <w:r w:rsidRPr="00AE7621">
        <w:t>ponerlas</w:t>
      </w:r>
      <w:proofErr w:type="spellEnd"/>
      <w:r w:rsidRPr="00AE7621">
        <w:t xml:space="preserve"> en </w:t>
      </w:r>
      <w:proofErr w:type="spellStart"/>
      <w:r w:rsidRPr="00AE7621">
        <w:t>alquiler</w:t>
      </w:r>
      <w:proofErr w:type="spellEnd"/>
      <w:r w:rsidRPr="00AE7621">
        <w:t xml:space="preserve">. </w:t>
      </w:r>
      <w:proofErr w:type="spellStart"/>
      <w:r w:rsidRPr="00AE7621">
        <w:t>También</w:t>
      </w:r>
      <w:proofErr w:type="spellEnd"/>
      <w:r w:rsidRPr="00AE7621">
        <w:t xml:space="preserve"> se ha </w:t>
      </w:r>
      <w:proofErr w:type="spellStart"/>
      <w:r w:rsidRPr="00AE7621">
        <w:t>propiciado</w:t>
      </w:r>
      <w:proofErr w:type="spellEnd"/>
      <w:r w:rsidRPr="00AE7621">
        <w:t xml:space="preserve"> la </w:t>
      </w:r>
      <w:proofErr w:type="spellStart"/>
      <w:r w:rsidRPr="00AE7621">
        <w:t>movilidad</w:t>
      </w:r>
      <w:proofErr w:type="spellEnd"/>
      <w:r w:rsidRPr="00AE7621">
        <w:t xml:space="preserve"> </w:t>
      </w:r>
      <w:proofErr w:type="spellStart"/>
      <w:r w:rsidRPr="00AE7621">
        <w:t>laboral</w:t>
      </w:r>
      <w:proofErr w:type="spellEnd"/>
      <w:r w:rsidRPr="00AE7621">
        <w:t xml:space="preserve"> con </w:t>
      </w:r>
      <w:proofErr w:type="spellStart"/>
      <w:r w:rsidRPr="00AE7621">
        <w:t>esta</w:t>
      </w:r>
      <w:proofErr w:type="spellEnd"/>
      <w:r w:rsidRPr="00AE7621">
        <w:t xml:space="preserve"> </w:t>
      </w:r>
      <w:proofErr w:type="spellStart"/>
      <w:r w:rsidRPr="00AE7621">
        <w:t>nueva</w:t>
      </w:r>
      <w:proofErr w:type="spellEnd"/>
      <w:r w:rsidRPr="00AE7621">
        <w:t xml:space="preserve"> </w:t>
      </w:r>
      <w:proofErr w:type="spellStart"/>
      <w:r w:rsidRPr="00AE7621">
        <w:t>política</w:t>
      </w:r>
      <w:proofErr w:type="spellEnd"/>
      <w:r w:rsidRPr="00AE7621">
        <w:t xml:space="preserve"> </w:t>
      </w:r>
      <w:proofErr w:type="spellStart"/>
      <w:r w:rsidRPr="00AE7621">
        <w:t>liberalizada</w:t>
      </w:r>
      <w:proofErr w:type="spellEnd"/>
      <w:r w:rsidRPr="00AE7621">
        <w:t xml:space="preserve">. </w:t>
      </w:r>
      <w:proofErr w:type="spellStart"/>
      <w:r w:rsidRPr="00AE7621">
        <w:t>Hemos</w:t>
      </w:r>
      <w:proofErr w:type="spellEnd"/>
      <w:r w:rsidRPr="00AE7621">
        <w:t xml:space="preserve"> </w:t>
      </w:r>
      <w:proofErr w:type="spellStart"/>
      <w:r w:rsidRPr="00AE7621">
        <w:t>hecho</w:t>
      </w:r>
      <w:proofErr w:type="spellEnd"/>
      <w:r w:rsidRPr="00AE7621">
        <w:t xml:space="preserve"> </w:t>
      </w:r>
      <w:proofErr w:type="spellStart"/>
      <w:r w:rsidRPr="00AE7621">
        <w:t>una</w:t>
      </w:r>
      <w:proofErr w:type="spellEnd"/>
      <w:r w:rsidRPr="00AE7621">
        <w:t xml:space="preserve"> </w:t>
      </w:r>
      <w:proofErr w:type="spellStart"/>
      <w:r w:rsidRPr="00AE7621">
        <w:t>apuesta</w:t>
      </w:r>
      <w:proofErr w:type="spellEnd"/>
      <w:r w:rsidR="007C4C3F">
        <w:rPr>
          <w:rStyle w:val="Appelnotedebasdep"/>
        </w:rPr>
        <w:footnoteReference w:id="5"/>
      </w:r>
      <w:r w:rsidRPr="00AE7621">
        <w:t xml:space="preserve"> firme </w:t>
      </w:r>
      <w:proofErr w:type="spellStart"/>
      <w:r w:rsidRPr="00AE7621">
        <w:t>por</w:t>
      </w:r>
      <w:proofErr w:type="spellEnd"/>
      <w:r w:rsidRPr="00AE7621">
        <w:t xml:space="preserve"> el </w:t>
      </w:r>
      <w:proofErr w:type="spellStart"/>
      <w:r w:rsidRPr="00AE7621">
        <w:t>alquiler</w:t>
      </w:r>
      <w:proofErr w:type="spellEnd"/>
      <w:r w:rsidRPr="00AE7621">
        <w:t xml:space="preserve">, </w:t>
      </w:r>
      <w:r w:rsidRPr="00AE7621">
        <w:rPr>
          <w:bCs/>
        </w:rPr>
        <w:t>230.000 familias</w:t>
      </w:r>
      <w:r w:rsidRPr="00AE7621">
        <w:t xml:space="preserve"> han </w:t>
      </w:r>
      <w:proofErr w:type="spellStart"/>
      <w:r w:rsidRPr="00AE7621">
        <w:t>obtenido</w:t>
      </w:r>
      <w:proofErr w:type="spellEnd"/>
      <w:r w:rsidRPr="00AE7621">
        <w:t xml:space="preserve"> </w:t>
      </w:r>
      <w:proofErr w:type="spellStart"/>
      <w:r w:rsidRPr="00AE7621">
        <w:t>subvenciones</w:t>
      </w:r>
      <w:proofErr w:type="spellEnd"/>
      <w:r w:rsidRPr="00AE7621">
        <w:t xml:space="preserve"> para </w:t>
      </w:r>
      <w:proofErr w:type="spellStart"/>
      <w:r w:rsidRPr="00AE7621">
        <w:t>alquileres</w:t>
      </w:r>
      <w:proofErr w:type="spellEnd"/>
      <w:r w:rsidRPr="00AE7621">
        <w:t xml:space="preserve"> sociales”, </w:t>
      </w:r>
      <w:proofErr w:type="spellStart"/>
      <w:r w:rsidRPr="00AE7621">
        <w:t>concretaba</w:t>
      </w:r>
      <w:proofErr w:type="spellEnd"/>
      <w:r w:rsidRPr="00AE7621">
        <w:t xml:space="preserve"> Andrés </w:t>
      </w:r>
      <w:proofErr w:type="spellStart"/>
      <w:r w:rsidRPr="00AE7621">
        <w:t>Ayala</w:t>
      </w:r>
      <w:proofErr w:type="spellEnd"/>
      <w:r w:rsidRPr="00AE7621">
        <w:t xml:space="preserve">, </w:t>
      </w:r>
      <w:proofErr w:type="spellStart"/>
      <w:r w:rsidRPr="00AE7621">
        <w:t>portavoz</w:t>
      </w:r>
      <w:proofErr w:type="spellEnd"/>
      <w:r w:rsidRPr="00AE7621">
        <w:t xml:space="preserve"> </w:t>
      </w:r>
      <w:proofErr w:type="spellStart"/>
      <w:r w:rsidRPr="00AE7621">
        <w:t>del</w:t>
      </w:r>
      <w:proofErr w:type="spellEnd"/>
      <w:r w:rsidRPr="00AE7621">
        <w:t xml:space="preserve"> PP en la </w:t>
      </w:r>
      <w:proofErr w:type="spellStart"/>
      <w:r w:rsidRPr="00AE7621">
        <w:t>Comisión</w:t>
      </w:r>
      <w:proofErr w:type="spellEnd"/>
      <w:r w:rsidRPr="00AE7621">
        <w:t xml:space="preserve"> de </w:t>
      </w:r>
      <w:proofErr w:type="spellStart"/>
      <w:r w:rsidRPr="00AE7621">
        <w:t>Vivienda</w:t>
      </w:r>
      <w:proofErr w:type="spellEnd"/>
      <w:r w:rsidRPr="00AE7621">
        <w:t xml:space="preserve"> y </w:t>
      </w:r>
      <w:proofErr w:type="spellStart"/>
      <w:r w:rsidRPr="00AE7621">
        <w:t>Fomento</w:t>
      </w:r>
      <w:proofErr w:type="spellEnd"/>
      <w:r w:rsidRPr="00AE7621">
        <w:t xml:space="preserve"> </w:t>
      </w:r>
      <w:proofErr w:type="spellStart"/>
      <w:r w:rsidRPr="00AE7621">
        <w:t>del</w:t>
      </w:r>
      <w:proofErr w:type="spellEnd"/>
      <w:r w:rsidRPr="00AE7621">
        <w:t xml:space="preserve"> </w:t>
      </w:r>
      <w:proofErr w:type="spellStart"/>
      <w:r w:rsidRPr="00AE7621">
        <w:t>Congreso</w:t>
      </w:r>
      <w:proofErr w:type="spellEnd"/>
      <w:r w:rsidRPr="00AE7621">
        <w:t xml:space="preserve"> de los </w:t>
      </w:r>
      <w:proofErr w:type="spellStart"/>
      <w:r w:rsidRPr="00AE7621">
        <w:t>Diputados</w:t>
      </w:r>
      <w:proofErr w:type="spellEnd"/>
      <w:r w:rsidRPr="00AE7621">
        <w:t>.</w:t>
      </w:r>
    </w:p>
    <w:p w:rsidR="005D0023" w:rsidRPr="00AE7621" w:rsidRDefault="00AE7621" w:rsidP="00AE7621">
      <w:pPr>
        <w:jc w:val="both"/>
        <w:rPr>
          <w:lang w:val="es-ES_tradnl"/>
        </w:rPr>
      </w:pPr>
      <w:r w:rsidRPr="00AE7621">
        <w:t xml:space="preserve">El </w:t>
      </w:r>
      <w:proofErr w:type="spellStart"/>
      <w:r w:rsidRPr="00AE7621">
        <w:t>sector</w:t>
      </w:r>
      <w:proofErr w:type="spellEnd"/>
      <w:r w:rsidRPr="00AE7621">
        <w:t xml:space="preserve"> </w:t>
      </w:r>
      <w:proofErr w:type="spellStart"/>
      <w:r w:rsidRPr="00AE7621">
        <w:t>también</w:t>
      </w:r>
      <w:proofErr w:type="spellEnd"/>
      <w:r w:rsidRPr="00AE7621">
        <w:t xml:space="preserve"> ha </w:t>
      </w:r>
      <w:proofErr w:type="spellStart"/>
      <w:r w:rsidRPr="00AE7621">
        <w:t>pedido</w:t>
      </w:r>
      <w:proofErr w:type="spellEnd"/>
      <w:r w:rsidRPr="00AE7621">
        <w:t xml:space="preserve"> al </w:t>
      </w:r>
      <w:proofErr w:type="spellStart"/>
      <w:r w:rsidRPr="00AE7621">
        <w:t>nuevo</w:t>
      </w:r>
      <w:proofErr w:type="spellEnd"/>
      <w:r w:rsidRPr="00AE7621">
        <w:t xml:space="preserve"> </w:t>
      </w:r>
      <w:proofErr w:type="spellStart"/>
      <w:r w:rsidRPr="00AE7621">
        <w:t>Gobierno</w:t>
      </w:r>
      <w:proofErr w:type="spellEnd"/>
      <w:r w:rsidRPr="00AE7621">
        <w:t xml:space="preserve"> que </w:t>
      </w:r>
      <w:proofErr w:type="spellStart"/>
      <w:r w:rsidRPr="00AE7621">
        <w:t>potencie</w:t>
      </w:r>
      <w:proofErr w:type="spellEnd"/>
      <w:r w:rsidR="007C4C3F">
        <w:rPr>
          <w:rStyle w:val="Appelnotedebasdep"/>
        </w:rPr>
        <w:footnoteReference w:id="6"/>
      </w:r>
      <w:r w:rsidRPr="00AE7621">
        <w:t xml:space="preserve"> el </w:t>
      </w:r>
      <w:proofErr w:type="spellStart"/>
      <w:r w:rsidRPr="00AE7621">
        <w:t>alquiler</w:t>
      </w:r>
      <w:proofErr w:type="spellEnd"/>
      <w:r w:rsidRPr="00AE7621">
        <w:t xml:space="preserve"> </w:t>
      </w:r>
      <w:proofErr w:type="spellStart"/>
      <w:r w:rsidRPr="00AE7621">
        <w:t>frente</w:t>
      </w:r>
      <w:proofErr w:type="spellEnd"/>
      <w:r w:rsidRPr="00AE7621">
        <w:t xml:space="preserve"> a la </w:t>
      </w:r>
      <w:proofErr w:type="spellStart"/>
      <w:r w:rsidRPr="00AE7621">
        <w:t>compra</w:t>
      </w:r>
      <w:proofErr w:type="spellEnd"/>
      <w:r w:rsidRPr="00AE7621">
        <w:t xml:space="preserve"> y que se </w:t>
      </w:r>
      <w:hyperlink r:id="rId10" w:history="1">
        <w:proofErr w:type="spellStart"/>
        <w:r w:rsidRPr="00AE7621">
          <w:t>graven</w:t>
        </w:r>
        <w:proofErr w:type="spellEnd"/>
        <w:r w:rsidR="007C4C3F">
          <w:rPr>
            <w:rStyle w:val="Appelnotedebasdep"/>
          </w:rPr>
          <w:footnoteReference w:id="7"/>
        </w:r>
        <w:r w:rsidRPr="00AE7621">
          <w:t xml:space="preserve"> las </w:t>
        </w:r>
        <w:proofErr w:type="spellStart"/>
        <w:r w:rsidRPr="00AE7621">
          <w:t>viviendas</w:t>
        </w:r>
        <w:proofErr w:type="spellEnd"/>
      </w:hyperlink>
      <w:r w:rsidRPr="00AE7621">
        <w:t xml:space="preserve"> que </w:t>
      </w:r>
      <w:proofErr w:type="spellStart"/>
      <w:r w:rsidRPr="00AE7621">
        <w:t>están</w:t>
      </w:r>
      <w:proofErr w:type="spellEnd"/>
      <w:r w:rsidRPr="00AE7621">
        <w:t xml:space="preserve"> </w:t>
      </w:r>
      <w:proofErr w:type="spellStart"/>
      <w:r w:rsidRPr="00AE7621">
        <w:t>vacías</w:t>
      </w:r>
      <w:proofErr w:type="spellEnd"/>
      <w:r w:rsidRPr="00AE7621">
        <w:t xml:space="preserve">, sobre </w:t>
      </w:r>
      <w:proofErr w:type="spellStart"/>
      <w:r w:rsidRPr="00AE7621">
        <w:t>todo</w:t>
      </w:r>
      <w:proofErr w:type="spellEnd"/>
      <w:r w:rsidRPr="00AE7621">
        <w:t xml:space="preserve"> las que </w:t>
      </w:r>
      <w:proofErr w:type="spellStart"/>
      <w:r w:rsidRPr="00AE7621">
        <w:t>sean</w:t>
      </w:r>
      <w:proofErr w:type="spellEnd"/>
      <w:r w:rsidRPr="00AE7621">
        <w:t xml:space="preserve"> </w:t>
      </w:r>
      <w:proofErr w:type="spellStart"/>
      <w:r w:rsidRPr="00AE7621">
        <w:t>propiedad</w:t>
      </w:r>
      <w:proofErr w:type="spellEnd"/>
      <w:r w:rsidRPr="00AE7621">
        <w:t xml:space="preserve"> de los bancos</w:t>
      </w:r>
      <w:r w:rsidR="00DD1107" w:rsidRPr="00AE7621">
        <w:rPr>
          <w:lang w:val="es-ES_tradnl"/>
        </w:rPr>
        <w:t>.</w:t>
      </w:r>
    </w:p>
    <w:p w:rsidR="00AC5FB7" w:rsidRPr="00F95D17" w:rsidRDefault="00AE7621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idealista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>
        <w:rPr>
          <w:rFonts w:eastAsia="Times New Roman" w:cs="Calibri"/>
          <w:i/>
          <w:sz w:val="24"/>
          <w:szCs w:val="24"/>
          <w:lang w:val="es-ES_tradnl" w:eastAsia="fr-FR"/>
        </w:rPr>
        <w:t>–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>
        <w:rPr>
          <w:rFonts w:eastAsia="Times New Roman" w:cs="Calibri"/>
          <w:sz w:val="24"/>
          <w:szCs w:val="24"/>
          <w:lang w:val="es-ES_tradnl" w:eastAsia="fr-FR"/>
        </w:rPr>
        <w:t>28/12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C5" w:rsidRDefault="006C34C5" w:rsidP="00D5487B">
      <w:pPr>
        <w:spacing w:after="0" w:line="240" w:lineRule="auto"/>
      </w:pPr>
      <w:r>
        <w:separator/>
      </w:r>
    </w:p>
  </w:endnote>
  <w:endnote w:type="continuationSeparator" w:id="0">
    <w:p w:rsidR="006C34C5" w:rsidRDefault="006C34C5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C5" w:rsidRDefault="006C34C5" w:rsidP="00D5487B">
      <w:pPr>
        <w:spacing w:after="0" w:line="240" w:lineRule="auto"/>
      </w:pPr>
      <w:r>
        <w:separator/>
      </w:r>
    </w:p>
  </w:footnote>
  <w:footnote w:type="continuationSeparator" w:id="0">
    <w:p w:rsidR="006C34C5" w:rsidRDefault="006C34C5" w:rsidP="00D5487B">
      <w:pPr>
        <w:spacing w:after="0" w:line="240" w:lineRule="auto"/>
      </w:pPr>
      <w:r>
        <w:continuationSeparator/>
      </w:r>
    </w:p>
  </w:footnote>
  <w:footnote w:id="1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AE7621">
        <w:t>Arrendamiento</w:t>
      </w:r>
      <w:proofErr w:type="spellEnd"/>
      <w:r>
        <w:t xml:space="preserve"> = </w:t>
      </w:r>
      <w:proofErr w:type="spellStart"/>
      <w:r>
        <w:t>alquiler</w:t>
      </w:r>
      <w:proofErr w:type="spellEnd"/>
      <w:r>
        <w:t>.</w:t>
      </w:r>
    </w:p>
  </w:footnote>
  <w:footnote w:id="2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Hogar</w:t>
      </w:r>
      <w:proofErr w:type="spellEnd"/>
      <w:r>
        <w:t> : foyer.</w:t>
      </w:r>
    </w:p>
  </w:footnote>
  <w:footnote w:id="3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Decantarse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 : </w:t>
      </w:r>
      <w:proofErr w:type="gramStart"/>
      <w:r>
        <w:t>pencher</w:t>
      </w:r>
      <w:proofErr w:type="gramEnd"/>
      <w:r>
        <w:t xml:space="preserve"> pour.</w:t>
      </w:r>
    </w:p>
  </w:footnote>
  <w:footnote w:id="4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Arraigarse</w:t>
      </w:r>
      <w:proofErr w:type="spellEnd"/>
      <w:r>
        <w:t> : s’installer.</w:t>
      </w:r>
    </w:p>
  </w:footnote>
  <w:footnote w:id="5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Una </w:t>
      </w:r>
      <w:proofErr w:type="spellStart"/>
      <w:r>
        <w:t>apuesta</w:t>
      </w:r>
      <w:proofErr w:type="spellEnd"/>
      <w:r>
        <w:t> : un pari.</w:t>
      </w:r>
    </w:p>
  </w:footnote>
  <w:footnote w:id="6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Potenciar</w:t>
      </w:r>
      <w:proofErr w:type="spellEnd"/>
      <w:r>
        <w:t> : favoriser.</w:t>
      </w:r>
    </w:p>
  </w:footnote>
  <w:footnote w:id="7">
    <w:p w:rsidR="007C4C3F" w:rsidRDefault="007C4C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Gravar</w:t>
      </w:r>
      <w:proofErr w:type="spellEnd"/>
      <w:r>
        <w:t> : taxer.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524F3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34C5"/>
    <w:rsid w:val="006C5BCF"/>
    <w:rsid w:val="006E5EAD"/>
    <w:rsid w:val="006E649B"/>
    <w:rsid w:val="00730241"/>
    <w:rsid w:val="0073666A"/>
    <w:rsid w:val="007424AA"/>
    <w:rsid w:val="0076288F"/>
    <w:rsid w:val="0078766B"/>
    <w:rsid w:val="007C4C3F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4138"/>
    <w:rsid w:val="00A65BDF"/>
    <w:rsid w:val="00A82B96"/>
    <w:rsid w:val="00AC5FB7"/>
    <w:rsid w:val="00AE3A5E"/>
    <w:rsid w:val="00AE6EFB"/>
    <w:rsid w:val="00AE7621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045A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AF9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sta.com/news/inmobiliario/vivienda/2015/11/06/739857-mapa-del-alquiler-en-espana-por-comunidades-autonomas-provincias-y-capit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ealista.com/informes-precio-vivie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dealista.com/news/inmobiliario/vivienda/2015/12/14/740289-el-sector-pide-mas-impuestos-a-las-casas-desocupadas-para-fomentar-el-mercado-del-alqui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ealista.com/news/inmobiliario/vivienda/2015/10/21/739634-servihabitat-el-alquiler-continuara-ganando-terreno-como-opcion-residenci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F755-A2F1-40CE-AE64-009FD52D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2016-02-15T14:57:00Z</dcterms:created>
  <dcterms:modified xsi:type="dcterms:W3CDTF">2016-02-15T14:57:00Z</dcterms:modified>
</cp:coreProperties>
</file>