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6F1ABB">
        <w:rPr>
          <w:rFonts w:cs="Calibri"/>
          <w:b/>
          <w:color w:val="000000"/>
          <w:sz w:val="30"/>
          <w:szCs w:val="30"/>
          <w:lang w:eastAsia="fr-FR"/>
        </w:rPr>
        <w:t>6</w:t>
      </w:r>
    </w:p>
    <w:p w:rsidR="00F95D17" w:rsidRPr="0078766B" w:rsidRDefault="00F95D17" w:rsidP="00F95D17">
      <w:pPr>
        <w:pStyle w:val="Sansinterligne"/>
        <w:rPr>
          <w:sz w:val="30"/>
          <w:szCs w:val="30"/>
        </w:rPr>
      </w:pPr>
    </w:p>
    <w:p w:rsidR="009832E4" w:rsidRPr="00742021" w:rsidRDefault="00742021" w:rsidP="00902299">
      <w:pPr>
        <w:pStyle w:val="Titre1"/>
        <w:rPr>
          <w:rFonts w:asciiTheme="minorHAnsi" w:hAnsiTheme="minorHAnsi" w:cs="Segoe UI"/>
          <w:b w:val="0"/>
          <w:color w:val="000000"/>
          <w:sz w:val="30"/>
          <w:szCs w:val="30"/>
          <w:lang w:val="es-ES_tradnl" w:eastAsia="fr-FR"/>
        </w:rPr>
      </w:pPr>
      <w:r w:rsidRPr="00742021">
        <w:rPr>
          <w:rFonts w:asciiTheme="minorHAnsi" w:hAnsiTheme="minorHAnsi" w:cs="Times"/>
          <w:spacing w:val="-20"/>
          <w:kern w:val="1"/>
          <w:sz w:val="30"/>
          <w:szCs w:val="30"/>
          <w:lang w:val="es-ES_tradnl"/>
        </w:rPr>
        <w:t>Para los 'millennials' alquilar ya no es tirar el dinero</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lastRenderedPageBreak/>
        <w:t>Al igual que han hecho infinidad de firmas tecnológicas y de consumo, las empresas del ladrillo</w:t>
      </w:r>
      <w:r w:rsidR="00CA270B">
        <w:rPr>
          <w:rStyle w:val="Appelnotedebasdep"/>
          <w:rFonts w:asciiTheme="minorHAnsi" w:hAnsiTheme="minorHAnsi"/>
          <w:lang w:val="es-ES_tradnl"/>
        </w:rPr>
        <w:footnoteReference w:id="1"/>
      </w:r>
      <w:r w:rsidRPr="00742021">
        <w:rPr>
          <w:rFonts w:asciiTheme="minorHAnsi" w:hAnsiTheme="minorHAnsi"/>
          <w:lang w:val="es-ES_tradnl"/>
        </w:rPr>
        <w:t xml:space="preserve"> tratan de afinar lo más posible el tiro con los nacidos entre 1980 y 2000, jóvenes de hasta 35 años llamados a ser sus potenciales clientes. Todas las miradas están puestas en ellos: en España, engloba a más de 11 millones de españoles, el 24% de la población.</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Pero nada tienen que ver estos jóvenes con sus predecesores. Y no solo porque el 83% duerma con el móvil o porque el 32% no haya pisado</w:t>
      </w:r>
      <w:r w:rsidR="00CA270B">
        <w:rPr>
          <w:rStyle w:val="Appelnotedebasdep"/>
          <w:rFonts w:asciiTheme="minorHAnsi" w:hAnsiTheme="minorHAnsi"/>
          <w:lang w:val="es-ES_tradnl"/>
        </w:rPr>
        <w:footnoteReference w:id="2"/>
      </w:r>
      <w:r w:rsidRPr="00742021">
        <w:rPr>
          <w:rFonts w:asciiTheme="minorHAnsi" w:hAnsiTheme="minorHAnsi"/>
          <w:lang w:val="es-ES_tradnl"/>
        </w:rPr>
        <w:t xml:space="preserve"> jamás un banco, según BBVA. Con recursos económicos limitados y sueldos bajos, están contribuyendo, casi sin quererlo, a cambiar el peso del alquiler en España, una opción de vida que causaba rechazo</w:t>
      </w:r>
      <w:r w:rsidR="00CA270B">
        <w:rPr>
          <w:rStyle w:val="Appelnotedebasdep"/>
          <w:rFonts w:asciiTheme="minorHAnsi" w:hAnsiTheme="minorHAnsi"/>
          <w:lang w:val="es-ES_tradnl"/>
        </w:rPr>
        <w:footnoteReference w:id="3"/>
      </w:r>
      <w:r w:rsidRPr="00742021">
        <w:rPr>
          <w:rFonts w:asciiTheme="minorHAnsi" w:hAnsiTheme="minorHAnsi"/>
          <w:lang w:val="es-ES_tradnl"/>
        </w:rPr>
        <w:t xml:space="preserve"> en generaciones anteriores.</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 xml:space="preserve">Más por obligación que por convicción, lo cierto es que el 60% de los que todavía vive con sus padres prevé independizarse en los próximos tres años, y de ellos el 68% piensa alquilar, frente a un reducido 16% que pretende comprar casa. </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Son datos llamativos en un país donde a partir de la década de los 70 la cultura de la propiedad echó profundas raíces</w:t>
      </w:r>
      <w:r w:rsidR="00CA270B">
        <w:rPr>
          <w:rStyle w:val="Appelnotedebasdep"/>
          <w:rFonts w:asciiTheme="minorHAnsi" w:hAnsiTheme="minorHAnsi"/>
          <w:lang w:val="es-ES_tradnl"/>
        </w:rPr>
        <w:footnoteReference w:id="4"/>
      </w:r>
      <w:r w:rsidRPr="00742021">
        <w:rPr>
          <w:rFonts w:asciiTheme="minorHAnsi" w:hAnsiTheme="minorHAnsi"/>
          <w:lang w:val="es-ES_tradnl"/>
        </w:rPr>
        <w:t xml:space="preserve">, favorecida por políticas fiscales y gubernamentales. </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Comprar una vivienda les resulta muy complicado al no reunir los requisitos de solvencia</w:t>
      </w:r>
      <w:r w:rsidR="00CA270B">
        <w:rPr>
          <w:rStyle w:val="Appelnotedebasdep"/>
          <w:rFonts w:asciiTheme="minorHAnsi" w:hAnsiTheme="minorHAnsi"/>
          <w:lang w:val="es-ES_tradnl"/>
        </w:rPr>
        <w:footnoteReference w:id="5"/>
      </w:r>
      <w:r w:rsidRPr="00742021">
        <w:rPr>
          <w:rFonts w:asciiTheme="minorHAnsi" w:hAnsiTheme="minorHAnsi"/>
          <w:lang w:val="es-ES_tradnl"/>
        </w:rPr>
        <w:t xml:space="preserve"> exigidos por los bancos. De hecho, casi cuatro de cada diez jóvenes propietarios reconoce</w:t>
      </w:r>
      <w:r w:rsidR="00CA270B">
        <w:rPr>
          <w:rFonts w:asciiTheme="minorHAnsi" w:hAnsiTheme="minorHAnsi"/>
          <w:lang w:val="es-ES_tradnl"/>
        </w:rPr>
        <w:t>n</w:t>
      </w:r>
      <w:r w:rsidRPr="00742021">
        <w:rPr>
          <w:rFonts w:asciiTheme="minorHAnsi" w:hAnsiTheme="minorHAnsi"/>
          <w:lang w:val="es-ES_tradnl"/>
        </w:rPr>
        <w:t xml:space="preserve"> haber recibido ayuda de padres o familiares. Según el Consejo de la Juventud Española, el salario medio de los menores de 29 años es inferior a los 1.000 euros al mes, lo que hace difícil que puedan disponer del 20% del precio de la vivienda que los bancos exigen y pagar los gastos de compraventa.</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 xml:space="preserve">Aún así, la compra no es algo que les obsesiona, como sí ocurría con la generación anterior. Del alquiler valoran el hecho de poder elegir donde vivir, a menudo en zonas céntricas con amplia oferta cultural y de ocio y bien comunicadas, áreas donde comprar sería casi impensable por los elevados precios. </w:t>
      </w:r>
    </w:p>
    <w:p w:rsidR="00742021" w:rsidRPr="00742021" w:rsidRDefault="00742021" w:rsidP="00742021">
      <w:pPr>
        <w:pStyle w:val="NormalWeb"/>
        <w:jc w:val="both"/>
        <w:rPr>
          <w:rFonts w:asciiTheme="minorHAnsi" w:hAnsiTheme="minorHAnsi"/>
          <w:lang w:val="es-ES_tradnl"/>
        </w:rPr>
      </w:pPr>
      <w:r w:rsidRPr="00742021">
        <w:rPr>
          <w:rFonts w:asciiTheme="minorHAnsi" w:hAnsiTheme="minorHAnsi"/>
          <w:lang w:val="es-ES_tradnl"/>
        </w:rPr>
        <w:t>En esta generación surge una nueva mentalidad, motivada por la movilidad laboral, pero también por una cultura más consumista. Es una generación donde no está tan consolidado el ahorro como en generaciones anteriores.</w:t>
      </w:r>
    </w:p>
    <w:p w:rsidR="005D0023" w:rsidRPr="00902299" w:rsidRDefault="00742021" w:rsidP="00742021">
      <w:pPr>
        <w:pStyle w:val="NormalWeb"/>
        <w:jc w:val="both"/>
        <w:rPr>
          <w:lang w:val="es-ES_tradnl"/>
        </w:rPr>
      </w:pPr>
      <w:r w:rsidRPr="00742021">
        <w:rPr>
          <w:rFonts w:asciiTheme="minorHAnsi" w:hAnsiTheme="minorHAnsi"/>
          <w:lang w:val="es-ES_tradnl"/>
        </w:rPr>
        <w:t>Esto no significa que los millennials no quieran ser dueños de su propia casa. Muchos de los que viven o piensan vivir de alquiler quizás no lo harían si pudieran aspirar a ser propietarios.</w:t>
      </w:r>
    </w:p>
    <w:p w:rsidR="00AC5FB7" w:rsidRPr="00F95D17" w:rsidRDefault="00CA270B"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elpais</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sidR="00702CFD">
        <w:rPr>
          <w:rFonts w:eastAsia="Times New Roman" w:cs="Calibri"/>
          <w:sz w:val="24"/>
          <w:szCs w:val="24"/>
          <w:lang w:val="es-ES_tradnl" w:eastAsia="fr-FR"/>
        </w:rPr>
        <w:t>1</w:t>
      </w:r>
      <w:r w:rsidR="00742021">
        <w:rPr>
          <w:rFonts w:eastAsia="Times New Roman" w:cs="Calibri"/>
          <w:sz w:val="24"/>
          <w:szCs w:val="24"/>
          <w:lang w:val="es-ES_tradnl" w:eastAsia="fr-FR"/>
        </w:rPr>
        <w:t>9</w:t>
      </w:r>
      <w:r w:rsidR="0073666A" w:rsidRPr="009F20C0">
        <w:rPr>
          <w:rFonts w:eastAsia="Times New Roman" w:cs="Calibri"/>
          <w:bCs/>
          <w:sz w:val="24"/>
          <w:szCs w:val="24"/>
          <w:lang w:val="es-ES_tradnl" w:eastAsia="fr-FR"/>
        </w:rPr>
        <w:t>/</w:t>
      </w:r>
      <w:r w:rsidR="00902299">
        <w:rPr>
          <w:rFonts w:eastAsia="Times New Roman" w:cs="Calibri"/>
          <w:bCs/>
          <w:sz w:val="24"/>
          <w:szCs w:val="24"/>
          <w:lang w:val="es-ES_tradnl" w:eastAsia="fr-FR"/>
        </w:rPr>
        <w:t>12</w:t>
      </w:r>
      <w:r w:rsidR="0073666A" w:rsidRPr="009F20C0">
        <w:rPr>
          <w:rFonts w:eastAsia="Times New Roman" w:cs="Calibri"/>
          <w:bCs/>
          <w:sz w:val="24"/>
          <w:szCs w:val="24"/>
          <w:lang w:val="es-ES_tradnl" w:eastAsia="fr-FR"/>
        </w:rPr>
        <w:t>/201</w:t>
      </w:r>
      <w:r w:rsidR="00902299">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C4" w:rsidRDefault="00F201C4" w:rsidP="00D5487B">
      <w:pPr>
        <w:spacing w:after="0" w:line="240" w:lineRule="auto"/>
      </w:pPr>
      <w:r>
        <w:separator/>
      </w:r>
    </w:p>
  </w:endnote>
  <w:endnote w:type="continuationSeparator" w:id="0">
    <w:p w:rsidR="00F201C4" w:rsidRDefault="00F201C4"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C4" w:rsidRDefault="00F201C4" w:rsidP="00D5487B">
      <w:pPr>
        <w:spacing w:after="0" w:line="240" w:lineRule="auto"/>
      </w:pPr>
      <w:r>
        <w:separator/>
      </w:r>
    </w:p>
  </w:footnote>
  <w:footnote w:type="continuationSeparator" w:id="0">
    <w:p w:rsidR="00F201C4" w:rsidRDefault="00F201C4" w:rsidP="00D5487B">
      <w:pPr>
        <w:spacing w:after="0" w:line="240" w:lineRule="auto"/>
      </w:pPr>
      <w:r>
        <w:continuationSeparator/>
      </w:r>
    </w:p>
  </w:footnote>
  <w:footnote w:id="1">
    <w:p w:rsidR="00CA270B" w:rsidRDefault="00CA270B">
      <w:pPr>
        <w:pStyle w:val="Notedebasdepage"/>
      </w:pPr>
      <w:r>
        <w:rPr>
          <w:rStyle w:val="Appelnotedebasdep"/>
        </w:rPr>
        <w:footnoteRef/>
      </w:r>
      <w:r>
        <w:t xml:space="preserve"> El ladrillo (ici) : le bâtiment.</w:t>
      </w:r>
    </w:p>
  </w:footnote>
  <w:footnote w:id="2">
    <w:p w:rsidR="00CA270B" w:rsidRDefault="00CA270B">
      <w:pPr>
        <w:pStyle w:val="Notedebasdepage"/>
      </w:pPr>
      <w:r>
        <w:rPr>
          <w:rStyle w:val="Appelnotedebasdep"/>
        </w:rPr>
        <w:footnoteRef/>
      </w:r>
      <w:r>
        <w:t xml:space="preserve"> Pisar : rentrer dans.</w:t>
      </w:r>
    </w:p>
  </w:footnote>
  <w:footnote w:id="3">
    <w:p w:rsidR="00CA270B" w:rsidRDefault="00CA270B">
      <w:pPr>
        <w:pStyle w:val="Notedebasdepage"/>
      </w:pPr>
      <w:r>
        <w:rPr>
          <w:rStyle w:val="Appelnotedebasdep"/>
        </w:rPr>
        <w:footnoteRef/>
      </w:r>
      <w:r>
        <w:t xml:space="preserve"> Rechazo : rejet, refus.</w:t>
      </w:r>
    </w:p>
  </w:footnote>
  <w:footnote w:id="4">
    <w:p w:rsidR="00CA270B" w:rsidRDefault="00CA270B">
      <w:pPr>
        <w:pStyle w:val="Notedebasdepage"/>
      </w:pPr>
      <w:r>
        <w:rPr>
          <w:rStyle w:val="Appelnotedebasdep"/>
        </w:rPr>
        <w:footnoteRef/>
      </w:r>
      <w:r>
        <w:t xml:space="preserve"> Echar raíces : ancrer.</w:t>
      </w:r>
    </w:p>
  </w:footnote>
  <w:footnote w:id="5">
    <w:p w:rsidR="00CA270B" w:rsidRDefault="00CA270B">
      <w:pPr>
        <w:pStyle w:val="Notedebasdepage"/>
      </w:pPr>
      <w:r>
        <w:rPr>
          <w:rStyle w:val="Appelnotedebasdep"/>
        </w:rPr>
        <w:footnoteRef/>
      </w:r>
      <w:r>
        <w:t xml:space="preserve"> Requisitos de solvencia : les conditions de solvabilité.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67237"/>
    <w:rsid w:val="00271A88"/>
    <w:rsid w:val="002942CA"/>
    <w:rsid w:val="002D1401"/>
    <w:rsid w:val="002E0C55"/>
    <w:rsid w:val="002F7AEC"/>
    <w:rsid w:val="00367347"/>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D0023"/>
    <w:rsid w:val="005D5ABB"/>
    <w:rsid w:val="00604ABD"/>
    <w:rsid w:val="006073B4"/>
    <w:rsid w:val="00656A1A"/>
    <w:rsid w:val="006613F9"/>
    <w:rsid w:val="0066577C"/>
    <w:rsid w:val="00687C95"/>
    <w:rsid w:val="006A16BE"/>
    <w:rsid w:val="006A4EEF"/>
    <w:rsid w:val="006B080D"/>
    <w:rsid w:val="006C2DA4"/>
    <w:rsid w:val="006C5BCF"/>
    <w:rsid w:val="006E649B"/>
    <w:rsid w:val="006F1ABB"/>
    <w:rsid w:val="00702CFD"/>
    <w:rsid w:val="00730241"/>
    <w:rsid w:val="0073666A"/>
    <w:rsid w:val="00742021"/>
    <w:rsid w:val="007424AA"/>
    <w:rsid w:val="0076288F"/>
    <w:rsid w:val="0078766B"/>
    <w:rsid w:val="007C6E30"/>
    <w:rsid w:val="007D3361"/>
    <w:rsid w:val="007E4FDB"/>
    <w:rsid w:val="00804131"/>
    <w:rsid w:val="008120B8"/>
    <w:rsid w:val="00845BFD"/>
    <w:rsid w:val="00886163"/>
    <w:rsid w:val="00886792"/>
    <w:rsid w:val="008C309B"/>
    <w:rsid w:val="00902299"/>
    <w:rsid w:val="009110F9"/>
    <w:rsid w:val="009304E3"/>
    <w:rsid w:val="00957915"/>
    <w:rsid w:val="009832E4"/>
    <w:rsid w:val="009A4F1D"/>
    <w:rsid w:val="009E5B50"/>
    <w:rsid w:val="009F20C0"/>
    <w:rsid w:val="009F3B57"/>
    <w:rsid w:val="00A144F2"/>
    <w:rsid w:val="00A16185"/>
    <w:rsid w:val="00A27A05"/>
    <w:rsid w:val="00A34038"/>
    <w:rsid w:val="00A41A60"/>
    <w:rsid w:val="00A41EE2"/>
    <w:rsid w:val="00A44028"/>
    <w:rsid w:val="00A54A24"/>
    <w:rsid w:val="00A563AE"/>
    <w:rsid w:val="00A65BDF"/>
    <w:rsid w:val="00A82B96"/>
    <w:rsid w:val="00AC255A"/>
    <w:rsid w:val="00AC5FB7"/>
    <w:rsid w:val="00AE3A5E"/>
    <w:rsid w:val="00AE6EFB"/>
    <w:rsid w:val="00AE7865"/>
    <w:rsid w:val="00B07FAE"/>
    <w:rsid w:val="00B24149"/>
    <w:rsid w:val="00B26B70"/>
    <w:rsid w:val="00B36FDE"/>
    <w:rsid w:val="00B463BC"/>
    <w:rsid w:val="00B509D8"/>
    <w:rsid w:val="00B531C4"/>
    <w:rsid w:val="00B664BC"/>
    <w:rsid w:val="00B7518C"/>
    <w:rsid w:val="00B96F41"/>
    <w:rsid w:val="00BA142B"/>
    <w:rsid w:val="00BE4634"/>
    <w:rsid w:val="00C06F13"/>
    <w:rsid w:val="00C07AF0"/>
    <w:rsid w:val="00C135E8"/>
    <w:rsid w:val="00C1527E"/>
    <w:rsid w:val="00C3460D"/>
    <w:rsid w:val="00C35923"/>
    <w:rsid w:val="00C522AE"/>
    <w:rsid w:val="00C94D01"/>
    <w:rsid w:val="00CA270B"/>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201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24FC-ECC4-4E1B-AA88-C4CD013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2017-01-17T15:03:00Z</dcterms:created>
  <dcterms:modified xsi:type="dcterms:W3CDTF">2017-01-17T15:36:00Z</dcterms:modified>
</cp:coreProperties>
</file>